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2BFF2" w14:textId="78C882A2" w:rsidR="00E9119E" w:rsidRPr="009B6754" w:rsidRDefault="009B6754" w:rsidP="00E9119E">
      <w:pPr>
        <w:tabs>
          <w:tab w:val="right" w:pos="9000"/>
        </w:tabs>
        <w:suppressAutoHyphens/>
        <w:spacing w:after="0" w:line="240" w:lineRule="auto"/>
        <w:jc w:val="right"/>
        <w:rPr>
          <w:rFonts w:ascii="Times New Roman" w:eastAsia="NSimSun" w:hAnsi="Times New Roman" w:cs="Times New Roman"/>
          <w:i/>
          <w:color w:val="000000"/>
          <w:kern w:val="0"/>
          <w:sz w:val="28"/>
          <w:szCs w:val="28"/>
          <w:lang w:eastAsia="zh-CN" w:bidi="hi-IN"/>
          <w14:ligatures w14:val="none"/>
        </w:rPr>
      </w:pPr>
      <w:r w:rsidRPr="009B6754">
        <w:rPr>
          <w:rFonts w:ascii="Times New Roman" w:eastAsia="NSimSun" w:hAnsi="Times New Roman" w:cs="Times New Roman"/>
          <w:i/>
          <w:color w:val="000000"/>
          <w:kern w:val="0"/>
          <w:sz w:val="28"/>
          <w:szCs w:val="28"/>
          <w:lang w:eastAsia="zh-CN" w:bidi="hi-IN"/>
          <w14:ligatures w14:val="none"/>
        </w:rPr>
        <w:t>В.А.</w:t>
      </w:r>
      <w:r w:rsidR="00E9119E" w:rsidRPr="009B6754">
        <w:rPr>
          <w:rFonts w:ascii="Times New Roman" w:eastAsia="NSimSun" w:hAnsi="Times New Roman" w:cs="Times New Roman"/>
          <w:i/>
          <w:color w:val="000000"/>
          <w:kern w:val="0"/>
          <w:sz w:val="28"/>
          <w:szCs w:val="28"/>
          <w:lang w:eastAsia="zh-CN" w:bidi="hi-IN"/>
          <w14:ligatures w14:val="none"/>
        </w:rPr>
        <w:t>Некрасова,</w:t>
      </w:r>
      <w:r w:rsidRPr="009B6754">
        <w:rPr>
          <w:rFonts w:ascii="Times New Roman" w:eastAsia="NSimSun" w:hAnsi="Times New Roman" w:cs="Times New Roman"/>
          <w:i/>
          <w:color w:val="000000"/>
          <w:kern w:val="0"/>
          <w:sz w:val="28"/>
          <w:szCs w:val="28"/>
          <w:lang w:eastAsia="zh-CN" w:bidi="hi-IN"/>
          <w14:ligatures w14:val="none"/>
        </w:rPr>
        <w:t>А.А.</w:t>
      </w:r>
      <w:r w:rsidR="00E9119E" w:rsidRPr="009B6754">
        <w:rPr>
          <w:rFonts w:ascii="Times New Roman" w:eastAsia="NSimSun" w:hAnsi="Times New Roman" w:cs="Times New Roman"/>
          <w:i/>
          <w:color w:val="000000"/>
          <w:kern w:val="0"/>
          <w:sz w:val="28"/>
          <w:szCs w:val="28"/>
          <w:lang w:eastAsia="zh-CN" w:bidi="hi-IN"/>
          <w14:ligatures w14:val="none"/>
        </w:rPr>
        <w:t>Шишкина</w:t>
      </w:r>
      <w:r w:rsidR="00490D78">
        <w:rPr>
          <w:rFonts w:ascii="Times New Roman" w:eastAsia="NSimSun" w:hAnsi="Times New Roman" w:cs="Times New Roman"/>
          <w:i/>
          <w:color w:val="000000"/>
          <w:kern w:val="0"/>
          <w:sz w:val="28"/>
          <w:szCs w:val="28"/>
          <w:lang w:eastAsia="zh-CN" w:bidi="hi-IN"/>
          <w14:ligatures w14:val="none"/>
        </w:rPr>
        <w:t>,</w:t>
      </w:r>
    </w:p>
    <w:p w14:paraId="3617428A" w14:textId="77777777" w:rsidR="00E9119E" w:rsidRPr="00E9119E" w:rsidRDefault="00E9119E" w:rsidP="00E6266D">
      <w:pPr>
        <w:tabs>
          <w:tab w:val="right" w:pos="9000"/>
        </w:tabs>
        <w:suppressAutoHyphens/>
        <w:spacing w:after="0" w:line="240" w:lineRule="auto"/>
        <w:ind w:firstLine="284"/>
        <w:jc w:val="right"/>
        <w:rPr>
          <w:rFonts w:ascii="Liberation Serif" w:eastAsia="NSimSun" w:hAnsi="Liberation Serif" w:cs="Lucida Sans" w:hint="eastAsia"/>
          <w:i/>
          <w:color w:val="00000A"/>
          <w:kern w:val="0"/>
          <w:sz w:val="28"/>
          <w:szCs w:val="28"/>
          <w:lang w:eastAsia="zh-CN" w:bidi="hi-IN"/>
          <w14:ligatures w14:val="none"/>
        </w:rPr>
      </w:pPr>
      <w:r w:rsidRPr="00E9119E">
        <w:rPr>
          <w:rFonts w:ascii="Times New Roman" w:eastAsia="NSimSun" w:hAnsi="Times New Roman" w:cs="Times New Roman"/>
          <w:i/>
          <w:color w:val="000000"/>
          <w:kern w:val="0"/>
          <w:sz w:val="28"/>
          <w:szCs w:val="28"/>
          <w:lang w:eastAsia="zh-CN" w:bidi="hi-IN"/>
          <w14:ligatures w14:val="none"/>
        </w:rPr>
        <w:t xml:space="preserve">Дальневосточный филиал </w:t>
      </w:r>
      <w:r w:rsidRPr="00E9119E">
        <w:rPr>
          <w:rFonts w:ascii="Times New Roman" w:eastAsia="Times New Roman" w:hAnsi="Times New Roman" w:cs="Times New Roman"/>
          <w:i/>
          <w:color w:val="000000"/>
          <w:kern w:val="0"/>
          <w:sz w:val="28"/>
          <w:szCs w:val="28"/>
          <w:lang w:bidi="hi-IN"/>
          <w14:ligatures w14:val="none"/>
        </w:rPr>
        <w:t>РГУП им. В.М. Лебедева</w:t>
      </w:r>
    </w:p>
    <w:p w14:paraId="58320C6D" w14:textId="1F585F74" w:rsidR="00283297" w:rsidRPr="006E07D2" w:rsidRDefault="00283297" w:rsidP="00E6266D">
      <w:pPr>
        <w:pStyle w:val="af3"/>
        <w:spacing w:before="0" w:beforeAutospacing="0" w:after="0" w:afterAutospacing="0"/>
        <w:jc w:val="right"/>
        <w:rPr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</w:t>
      </w:r>
      <w:r w:rsidRPr="006E07D2">
        <w:rPr>
          <w:i/>
          <w:iCs/>
          <w:color w:val="000000"/>
          <w:sz w:val="28"/>
          <w:szCs w:val="28"/>
        </w:rPr>
        <w:t xml:space="preserve">Научный руководитель: доцент кафедры  </w:t>
      </w:r>
    </w:p>
    <w:p w14:paraId="1313867F" w14:textId="77777777" w:rsidR="00283297" w:rsidRPr="006E07D2" w:rsidRDefault="00283297" w:rsidP="00E6266D">
      <w:pPr>
        <w:pStyle w:val="af3"/>
        <w:spacing w:before="0" w:beforeAutospacing="0" w:after="0" w:afterAutospacing="0"/>
        <w:jc w:val="right"/>
        <w:rPr>
          <w:i/>
          <w:iCs/>
          <w:color w:val="000000"/>
          <w:sz w:val="28"/>
          <w:szCs w:val="28"/>
        </w:rPr>
      </w:pPr>
      <w:r w:rsidRPr="006E07D2">
        <w:rPr>
          <w:i/>
          <w:iCs/>
          <w:color w:val="000000"/>
          <w:sz w:val="28"/>
          <w:szCs w:val="28"/>
        </w:rPr>
        <w:t xml:space="preserve">                                                                ТИПИГ к.ю.н., доцент </w:t>
      </w:r>
      <w:proofErr w:type="spellStart"/>
      <w:r w:rsidRPr="006E07D2">
        <w:rPr>
          <w:i/>
          <w:iCs/>
          <w:color w:val="000000"/>
          <w:sz w:val="28"/>
          <w:szCs w:val="28"/>
        </w:rPr>
        <w:t>Нежинская</w:t>
      </w:r>
      <w:proofErr w:type="spellEnd"/>
      <w:r w:rsidRPr="006E07D2">
        <w:rPr>
          <w:i/>
          <w:iCs/>
          <w:color w:val="000000"/>
          <w:sz w:val="28"/>
          <w:szCs w:val="28"/>
        </w:rPr>
        <w:t xml:space="preserve"> К.С.</w:t>
      </w:r>
    </w:p>
    <w:p w14:paraId="13A13690" w14:textId="32ADA851" w:rsidR="00E9119E" w:rsidRPr="00E9119E" w:rsidRDefault="00E9119E" w:rsidP="00E6266D">
      <w:pPr>
        <w:tabs>
          <w:tab w:val="right" w:pos="9000"/>
        </w:tabs>
        <w:suppressAutoHyphens/>
        <w:spacing w:after="0" w:line="240" w:lineRule="auto"/>
        <w:jc w:val="right"/>
        <w:rPr>
          <w:rFonts w:ascii="Times New Roman" w:eastAsia="NSimSun" w:hAnsi="Times New Roman" w:cs="Times New Roman"/>
          <w:i/>
          <w:color w:val="000000"/>
          <w:kern w:val="0"/>
          <w:sz w:val="28"/>
          <w:szCs w:val="28"/>
          <w:lang w:eastAsia="zh-CN" w:bidi="hi-IN"/>
          <w14:ligatures w14:val="none"/>
        </w:rPr>
      </w:pPr>
      <w:r w:rsidRPr="00E9119E">
        <w:rPr>
          <w:rFonts w:ascii="Times New Roman" w:eastAsia="NSimSun" w:hAnsi="Times New Roman" w:cs="Times New Roman"/>
          <w:i/>
          <w:color w:val="000000"/>
          <w:kern w:val="0"/>
          <w:sz w:val="28"/>
          <w:szCs w:val="28"/>
          <w:lang w:eastAsia="zh-CN" w:bidi="hi-IN"/>
          <w14:ligatures w14:val="none"/>
        </w:rPr>
        <w:t>Дальневосточного филиала</w:t>
      </w:r>
      <w:r w:rsidRPr="00E9119E">
        <w:rPr>
          <w:rFonts w:ascii="Times New Roman" w:eastAsia="Times New Roman" w:hAnsi="Times New Roman" w:cs="Times New Roman"/>
          <w:i/>
          <w:color w:val="000000"/>
          <w:kern w:val="0"/>
          <w:sz w:val="28"/>
          <w:szCs w:val="28"/>
          <w:lang w:bidi="hi-IN"/>
          <w14:ligatures w14:val="none"/>
        </w:rPr>
        <w:t xml:space="preserve"> </w:t>
      </w:r>
      <w:r w:rsidRPr="00E9119E">
        <w:rPr>
          <w:rFonts w:ascii="Times New Roman" w:eastAsia="NSimSun" w:hAnsi="Times New Roman" w:cs="Times New Roman"/>
          <w:i/>
          <w:color w:val="000000"/>
          <w:kern w:val="0"/>
          <w:sz w:val="28"/>
          <w:szCs w:val="28"/>
          <w:lang w:eastAsia="zh-CN" w:bidi="hi-IN"/>
          <w14:ligatures w14:val="none"/>
        </w:rPr>
        <w:t>РГУП им. В.М. Лебедева</w:t>
      </w:r>
    </w:p>
    <w:p w14:paraId="2D41E21C" w14:textId="77777777" w:rsidR="00E9194A" w:rsidRPr="00E9119E" w:rsidRDefault="00E9194A" w:rsidP="00E9119E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FB57421" w14:textId="77777777" w:rsidR="00E9194A" w:rsidRDefault="00E9194A" w:rsidP="00FD262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FAF1772" w14:textId="6D3F340B" w:rsidR="00FD2629" w:rsidRPr="002B4854" w:rsidRDefault="00FD2629" w:rsidP="00FD262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B4854">
        <w:rPr>
          <w:rFonts w:ascii="Times New Roman" w:hAnsi="Times New Roman" w:cs="Times New Roman"/>
          <w:b/>
          <w:bCs/>
          <w:sz w:val="28"/>
          <w:szCs w:val="28"/>
        </w:rPr>
        <w:t>Эволюция института юридической ответственности в Судебнике 1550 года</w:t>
      </w:r>
    </w:p>
    <w:p w14:paraId="5B235DA8" w14:textId="77777777" w:rsidR="00FD2629" w:rsidRPr="00811E1F" w:rsidRDefault="00FD2629" w:rsidP="00FD2629">
      <w:pPr>
        <w:rPr>
          <w:rFonts w:ascii="Times New Roman" w:hAnsi="Times New Roman" w:cs="Times New Roman"/>
          <w:sz w:val="28"/>
          <w:szCs w:val="28"/>
        </w:rPr>
      </w:pPr>
    </w:p>
    <w:p w14:paraId="76CCEFC9" w14:textId="77777777" w:rsidR="00FD2629" w:rsidRPr="00811E1F" w:rsidRDefault="00FD2629" w:rsidP="00FD2629">
      <w:pPr>
        <w:rPr>
          <w:rFonts w:ascii="Times New Roman" w:hAnsi="Times New Roman" w:cs="Times New Roman"/>
          <w:sz w:val="28"/>
          <w:szCs w:val="28"/>
        </w:rPr>
      </w:pPr>
      <w:r w:rsidRPr="00811E1F">
        <w:rPr>
          <w:rFonts w:ascii="Times New Roman" w:hAnsi="Times New Roman" w:cs="Times New Roman"/>
          <w:sz w:val="28"/>
          <w:szCs w:val="28"/>
        </w:rPr>
        <w:t>Введение</w:t>
      </w:r>
    </w:p>
    <w:p w14:paraId="2F17F898" w14:textId="55B97552" w:rsidR="00FD2629" w:rsidRPr="00811E1F" w:rsidRDefault="00FD2629" w:rsidP="00FD2629">
      <w:pPr>
        <w:rPr>
          <w:rFonts w:ascii="Times New Roman" w:hAnsi="Times New Roman" w:cs="Times New Roman"/>
          <w:sz w:val="28"/>
          <w:szCs w:val="28"/>
        </w:rPr>
      </w:pPr>
      <w:r w:rsidRPr="00811E1F">
        <w:rPr>
          <w:rFonts w:ascii="Times New Roman" w:hAnsi="Times New Roman" w:cs="Times New Roman"/>
          <w:sz w:val="28"/>
          <w:szCs w:val="28"/>
        </w:rPr>
        <w:t>Изучение истории становления отечественного права является неотъемлемой частью подготовки юриста,</w:t>
      </w:r>
      <w:r w:rsidR="00DC6179" w:rsidRPr="00811E1F">
        <w:rPr>
          <w:rFonts w:ascii="Times New Roman" w:hAnsi="Times New Roman" w:cs="Times New Roman"/>
          <w:sz w:val="28"/>
          <w:szCs w:val="28"/>
        </w:rPr>
        <w:t xml:space="preserve"> </w:t>
      </w:r>
      <w:r w:rsidRPr="00811E1F">
        <w:rPr>
          <w:rFonts w:ascii="Times New Roman" w:hAnsi="Times New Roman" w:cs="Times New Roman"/>
          <w:sz w:val="28"/>
          <w:szCs w:val="28"/>
        </w:rPr>
        <w:t>позволяющей понять факторы обуславливающие появление современных правовых институтов. В данном вопросе примечательно изучение Судебника 1550 года как одного из факторов, положивших начало современной судебной системы</w:t>
      </w:r>
      <w:r w:rsidR="00571118" w:rsidRPr="00811E1F">
        <w:rPr>
          <w:rStyle w:val="ae"/>
          <w:rFonts w:ascii="Times New Roman" w:hAnsi="Times New Roman" w:cs="Times New Roman"/>
          <w:sz w:val="28"/>
          <w:szCs w:val="28"/>
        </w:rPr>
        <w:footnoteReference w:id="1"/>
      </w:r>
      <w:r w:rsidRPr="00811E1F">
        <w:rPr>
          <w:rFonts w:ascii="Times New Roman" w:hAnsi="Times New Roman" w:cs="Times New Roman"/>
          <w:sz w:val="28"/>
          <w:szCs w:val="28"/>
        </w:rPr>
        <w:t>. Принятый в первый период правления Ивана IV Грозного, он стал ключевым этапом в процессе систематизации права и централизации власти в Московском государстве. В отличие от своего предшественника-Судебника 1497 года-новый свод законов включал в себя большое количество общественных отношений в изучаемой сфере, что отражало усложнившиеся государственные и социальные отношения</w:t>
      </w:r>
      <w:r w:rsidR="00DB50BA" w:rsidRPr="00811E1F">
        <w:rPr>
          <w:rStyle w:val="ae"/>
          <w:rFonts w:ascii="Times New Roman" w:hAnsi="Times New Roman" w:cs="Times New Roman"/>
          <w:sz w:val="28"/>
          <w:szCs w:val="28"/>
        </w:rPr>
        <w:footnoteReference w:id="2"/>
      </w:r>
      <w:r w:rsidRPr="00811E1F">
        <w:rPr>
          <w:rFonts w:ascii="Times New Roman" w:hAnsi="Times New Roman" w:cs="Times New Roman"/>
          <w:sz w:val="28"/>
          <w:szCs w:val="28"/>
        </w:rPr>
        <w:t>.</w:t>
      </w:r>
    </w:p>
    <w:p w14:paraId="35FECFB3" w14:textId="7A409996" w:rsidR="004421C8" w:rsidRPr="00811E1F" w:rsidRDefault="004421C8" w:rsidP="00FD2629">
      <w:pPr>
        <w:rPr>
          <w:rFonts w:ascii="Times New Roman" w:hAnsi="Times New Roman" w:cs="Times New Roman"/>
          <w:sz w:val="28"/>
          <w:szCs w:val="28"/>
        </w:rPr>
      </w:pPr>
      <w:r w:rsidRPr="00811E1F">
        <w:rPr>
          <w:rFonts w:ascii="Times New Roman" w:hAnsi="Times New Roman" w:cs="Times New Roman"/>
          <w:sz w:val="28"/>
          <w:szCs w:val="28"/>
        </w:rPr>
        <w:t xml:space="preserve">Ключевые слова:Судебник 1550 </w:t>
      </w:r>
      <w:proofErr w:type="spellStart"/>
      <w:r w:rsidRPr="00811E1F">
        <w:rPr>
          <w:rFonts w:ascii="Times New Roman" w:hAnsi="Times New Roman" w:cs="Times New Roman"/>
          <w:sz w:val="28"/>
          <w:szCs w:val="28"/>
        </w:rPr>
        <w:t>года,</w:t>
      </w:r>
      <w:r w:rsidR="004B7678" w:rsidRPr="00811E1F">
        <w:rPr>
          <w:rFonts w:ascii="Times New Roman" w:hAnsi="Times New Roman" w:cs="Times New Roman"/>
          <w:sz w:val="28"/>
          <w:szCs w:val="28"/>
        </w:rPr>
        <w:t>юридическая</w:t>
      </w:r>
      <w:proofErr w:type="spellEnd"/>
      <w:r w:rsidR="004B7678" w:rsidRPr="00811E1F">
        <w:rPr>
          <w:rFonts w:ascii="Times New Roman" w:hAnsi="Times New Roman" w:cs="Times New Roman"/>
          <w:sz w:val="28"/>
          <w:szCs w:val="28"/>
        </w:rPr>
        <w:t xml:space="preserve"> ответственность,централизация </w:t>
      </w:r>
      <w:proofErr w:type="spellStart"/>
      <w:r w:rsidR="004B7678" w:rsidRPr="00811E1F">
        <w:rPr>
          <w:rFonts w:ascii="Times New Roman" w:hAnsi="Times New Roman" w:cs="Times New Roman"/>
          <w:sz w:val="28"/>
          <w:szCs w:val="28"/>
        </w:rPr>
        <w:t>власти,виды</w:t>
      </w:r>
      <w:proofErr w:type="spellEnd"/>
      <w:r w:rsidR="004B7678" w:rsidRPr="00811E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7678" w:rsidRPr="00811E1F">
        <w:rPr>
          <w:rFonts w:ascii="Times New Roman" w:hAnsi="Times New Roman" w:cs="Times New Roman"/>
          <w:sz w:val="28"/>
          <w:szCs w:val="28"/>
        </w:rPr>
        <w:t>наказаний,систематизация</w:t>
      </w:r>
      <w:proofErr w:type="spellEnd"/>
      <w:r w:rsidR="004B7678" w:rsidRPr="00811E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7678" w:rsidRPr="00811E1F">
        <w:rPr>
          <w:rFonts w:ascii="Times New Roman" w:hAnsi="Times New Roman" w:cs="Times New Roman"/>
          <w:sz w:val="28"/>
          <w:szCs w:val="28"/>
        </w:rPr>
        <w:t>права,</w:t>
      </w:r>
      <w:r w:rsidR="002A0197" w:rsidRPr="00811E1F">
        <w:rPr>
          <w:rFonts w:ascii="Times New Roman" w:hAnsi="Times New Roman" w:cs="Times New Roman"/>
          <w:sz w:val="28"/>
          <w:szCs w:val="28"/>
        </w:rPr>
        <w:t>судебная</w:t>
      </w:r>
      <w:proofErr w:type="spellEnd"/>
      <w:r w:rsidR="002A0197" w:rsidRPr="00811E1F">
        <w:rPr>
          <w:rFonts w:ascii="Times New Roman" w:hAnsi="Times New Roman" w:cs="Times New Roman"/>
          <w:sz w:val="28"/>
          <w:szCs w:val="28"/>
        </w:rPr>
        <w:t xml:space="preserve"> система </w:t>
      </w:r>
    </w:p>
    <w:p w14:paraId="705DF955" w14:textId="36BEB844" w:rsidR="00FD2629" w:rsidRPr="00811E1F" w:rsidRDefault="00FD2629" w:rsidP="00FD2629">
      <w:pPr>
        <w:rPr>
          <w:rFonts w:ascii="Times New Roman" w:hAnsi="Times New Roman" w:cs="Times New Roman"/>
          <w:sz w:val="28"/>
          <w:szCs w:val="28"/>
        </w:rPr>
      </w:pPr>
      <w:r w:rsidRPr="00811E1F">
        <w:rPr>
          <w:rFonts w:ascii="Times New Roman" w:hAnsi="Times New Roman" w:cs="Times New Roman"/>
          <w:sz w:val="28"/>
          <w:szCs w:val="28"/>
        </w:rPr>
        <w:t xml:space="preserve">Примечательно, что в Судебнике 1550 года был закреплен новый для того времени институт юридической ответственности, сочетавший в себе как архаичные (например, сохранился «судебный поединок»), так и прогрессивные для своего времени черты.Анализ этой системы позволяет проследить, как </w:t>
      </w:r>
      <w:r w:rsidRPr="00811E1F">
        <w:rPr>
          <w:rFonts w:ascii="Times New Roman" w:hAnsi="Times New Roman" w:cs="Times New Roman"/>
          <w:sz w:val="28"/>
          <w:szCs w:val="28"/>
        </w:rPr>
        <w:lastRenderedPageBreak/>
        <w:t xml:space="preserve">происходил переход от частного правосудия к публичному, от принципа </w:t>
      </w:r>
      <w:proofErr w:type="spellStart"/>
      <w:r w:rsidRPr="00811E1F">
        <w:rPr>
          <w:rFonts w:ascii="Times New Roman" w:hAnsi="Times New Roman" w:cs="Times New Roman"/>
          <w:sz w:val="28"/>
          <w:szCs w:val="28"/>
        </w:rPr>
        <w:t>талиона</w:t>
      </w:r>
      <w:proofErr w:type="spellEnd"/>
      <w:r w:rsidRPr="00811E1F">
        <w:rPr>
          <w:rFonts w:ascii="Times New Roman" w:hAnsi="Times New Roman" w:cs="Times New Roman"/>
          <w:sz w:val="28"/>
          <w:szCs w:val="28"/>
        </w:rPr>
        <w:t xml:space="preserve"> к государственной репрессии</w:t>
      </w:r>
      <w:r w:rsidR="004E026C" w:rsidRPr="00811E1F">
        <w:rPr>
          <w:rStyle w:val="ae"/>
          <w:rFonts w:ascii="Times New Roman" w:hAnsi="Times New Roman" w:cs="Times New Roman"/>
          <w:sz w:val="28"/>
          <w:szCs w:val="28"/>
        </w:rPr>
        <w:footnoteReference w:id="3"/>
      </w:r>
      <w:r w:rsidRPr="00811E1F">
        <w:rPr>
          <w:rFonts w:ascii="Times New Roman" w:hAnsi="Times New Roman" w:cs="Times New Roman"/>
          <w:sz w:val="28"/>
          <w:szCs w:val="28"/>
        </w:rPr>
        <w:t>.</w:t>
      </w:r>
    </w:p>
    <w:p w14:paraId="60331FF2" w14:textId="3F9FA4B5" w:rsidR="00FD2629" w:rsidRPr="00811E1F" w:rsidRDefault="00FD2629" w:rsidP="00FD2629">
      <w:pPr>
        <w:rPr>
          <w:rFonts w:ascii="Times New Roman" w:hAnsi="Times New Roman" w:cs="Times New Roman"/>
          <w:sz w:val="28"/>
          <w:szCs w:val="28"/>
        </w:rPr>
      </w:pPr>
      <w:r w:rsidRPr="00811E1F">
        <w:rPr>
          <w:rFonts w:ascii="Times New Roman" w:hAnsi="Times New Roman" w:cs="Times New Roman"/>
          <w:sz w:val="28"/>
          <w:szCs w:val="28"/>
        </w:rPr>
        <w:t>К середине XVI века правовая система Московского государства остро нуждалась в реформировании. Так, судопроизводство осуществлялось наместниками и волостелями, которые по сути, «кормились» за счет тяжущихся, что являлось благодатной почвой для коррупции и злоупотреблений.</w:t>
      </w:r>
    </w:p>
    <w:p w14:paraId="245D80AD" w14:textId="531776B7" w:rsidR="00FD2629" w:rsidRPr="00811E1F" w:rsidRDefault="00FD2629" w:rsidP="00FD2629">
      <w:pPr>
        <w:rPr>
          <w:rFonts w:ascii="Times New Roman" w:hAnsi="Times New Roman" w:cs="Times New Roman"/>
          <w:sz w:val="28"/>
          <w:szCs w:val="28"/>
        </w:rPr>
      </w:pPr>
      <w:r w:rsidRPr="00811E1F">
        <w:rPr>
          <w:rFonts w:ascii="Times New Roman" w:hAnsi="Times New Roman" w:cs="Times New Roman"/>
          <w:sz w:val="28"/>
          <w:szCs w:val="28"/>
        </w:rPr>
        <w:t>Нормы судопроизводства сохранили анархичные методы разрешения споров,</w:t>
      </w:r>
      <w:r w:rsidR="00DC6179" w:rsidRPr="00811E1F">
        <w:rPr>
          <w:rFonts w:ascii="Times New Roman" w:hAnsi="Times New Roman" w:cs="Times New Roman"/>
          <w:sz w:val="28"/>
          <w:szCs w:val="28"/>
        </w:rPr>
        <w:t xml:space="preserve"> </w:t>
      </w:r>
      <w:r w:rsidRPr="00811E1F">
        <w:rPr>
          <w:rFonts w:ascii="Times New Roman" w:hAnsi="Times New Roman" w:cs="Times New Roman"/>
          <w:sz w:val="28"/>
          <w:szCs w:val="28"/>
        </w:rPr>
        <w:t>таких как судебный поединок («поле»),при котором исход дела зависел не от анализа доказательств, а от физической силы сторон, что нарушало саму идею справедливого правосудия.</w:t>
      </w:r>
    </w:p>
    <w:p w14:paraId="321E26B2" w14:textId="5FE3AE3B" w:rsidR="00FD2629" w:rsidRPr="00811E1F" w:rsidRDefault="00FD2629" w:rsidP="00FD2629">
      <w:pPr>
        <w:rPr>
          <w:rFonts w:ascii="Times New Roman" w:hAnsi="Times New Roman" w:cs="Times New Roman"/>
          <w:sz w:val="28"/>
          <w:szCs w:val="28"/>
        </w:rPr>
      </w:pPr>
      <w:r w:rsidRPr="00811E1F">
        <w:rPr>
          <w:rFonts w:ascii="Times New Roman" w:hAnsi="Times New Roman" w:cs="Times New Roman"/>
          <w:sz w:val="28"/>
          <w:szCs w:val="28"/>
        </w:rPr>
        <w:t>Судебник 1550 года был призван устранить эти недостатки.</w:t>
      </w:r>
      <w:r w:rsidR="00837375" w:rsidRPr="00811E1F">
        <w:rPr>
          <w:rFonts w:ascii="Times New Roman" w:hAnsi="Times New Roman" w:cs="Times New Roman"/>
          <w:sz w:val="28"/>
          <w:szCs w:val="28"/>
        </w:rPr>
        <w:t xml:space="preserve"> </w:t>
      </w:r>
      <w:r w:rsidRPr="00811E1F">
        <w:rPr>
          <w:rFonts w:ascii="Times New Roman" w:hAnsi="Times New Roman" w:cs="Times New Roman"/>
          <w:sz w:val="28"/>
          <w:szCs w:val="28"/>
        </w:rPr>
        <w:t xml:space="preserve">В его разработке и принятии активное участие приняли «Избранная Рада» и первым Земский собор, что придавало ему большую </w:t>
      </w:r>
      <w:proofErr w:type="spellStart"/>
      <w:r w:rsidRPr="00811E1F">
        <w:rPr>
          <w:rFonts w:ascii="Times New Roman" w:hAnsi="Times New Roman" w:cs="Times New Roman"/>
          <w:sz w:val="28"/>
          <w:szCs w:val="28"/>
        </w:rPr>
        <w:t>легитимность</w:t>
      </w:r>
      <w:proofErr w:type="spellEnd"/>
      <w:r w:rsidRPr="00811E1F">
        <w:rPr>
          <w:rFonts w:ascii="Times New Roman" w:hAnsi="Times New Roman" w:cs="Times New Roman"/>
          <w:sz w:val="28"/>
          <w:szCs w:val="28"/>
        </w:rPr>
        <w:t>.</w:t>
      </w:r>
    </w:p>
    <w:p w14:paraId="49BF36D5" w14:textId="6FEE7816" w:rsidR="00FD2629" w:rsidRPr="00811E1F" w:rsidRDefault="00FD2629" w:rsidP="00FD2629">
      <w:pPr>
        <w:rPr>
          <w:rFonts w:ascii="Times New Roman" w:hAnsi="Times New Roman" w:cs="Times New Roman"/>
          <w:sz w:val="28"/>
          <w:szCs w:val="28"/>
        </w:rPr>
      </w:pPr>
      <w:r w:rsidRPr="00811E1F">
        <w:rPr>
          <w:rFonts w:ascii="Times New Roman" w:hAnsi="Times New Roman" w:cs="Times New Roman"/>
          <w:sz w:val="28"/>
          <w:szCs w:val="28"/>
        </w:rPr>
        <w:t>Одним из главных достижений Судебника 1550 года стала выстроенная система наказаний,</w:t>
      </w:r>
      <w:r w:rsidR="00837375" w:rsidRPr="00811E1F">
        <w:rPr>
          <w:rFonts w:ascii="Times New Roman" w:hAnsi="Times New Roman" w:cs="Times New Roman"/>
          <w:sz w:val="28"/>
          <w:szCs w:val="28"/>
        </w:rPr>
        <w:t xml:space="preserve"> </w:t>
      </w:r>
      <w:r w:rsidRPr="00811E1F">
        <w:rPr>
          <w:rFonts w:ascii="Times New Roman" w:hAnsi="Times New Roman" w:cs="Times New Roman"/>
          <w:sz w:val="28"/>
          <w:szCs w:val="28"/>
        </w:rPr>
        <w:t>но и как для всех нормативных актов того времени ,имела существенные недостатки (например, наместники лишались их судебных прав в отношении детей боярских – для суда над ними оставляли лишь узкий круг уголовных дел, связанных с убийством и разбоем). Ее характерной чертой был синтез частно-правовых и публично-правовых начал. С одной стороны, законодатель сохранял древние компенсационные механизмы, с другой – активно внедрял государственную репрессию</w:t>
      </w:r>
      <w:r w:rsidR="00E90921" w:rsidRPr="00811E1F">
        <w:rPr>
          <w:rStyle w:val="ae"/>
          <w:rFonts w:ascii="Times New Roman" w:hAnsi="Times New Roman" w:cs="Times New Roman"/>
          <w:sz w:val="28"/>
          <w:szCs w:val="28"/>
        </w:rPr>
        <w:footnoteReference w:id="4"/>
      </w:r>
      <w:r w:rsidRPr="00811E1F">
        <w:rPr>
          <w:rFonts w:ascii="Times New Roman" w:hAnsi="Times New Roman" w:cs="Times New Roman"/>
          <w:sz w:val="28"/>
          <w:szCs w:val="28"/>
        </w:rPr>
        <w:t>.</w:t>
      </w:r>
    </w:p>
    <w:p w14:paraId="47A75DBF" w14:textId="77777777" w:rsidR="00FD2629" w:rsidRPr="00811E1F" w:rsidRDefault="00FD2629" w:rsidP="00FD2629">
      <w:pPr>
        <w:rPr>
          <w:rFonts w:ascii="Times New Roman" w:hAnsi="Times New Roman" w:cs="Times New Roman"/>
          <w:sz w:val="28"/>
          <w:szCs w:val="28"/>
        </w:rPr>
      </w:pPr>
      <w:r w:rsidRPr="00811E1F">
        <w:rPr>
          <w:rFonts w:ascii="Times New Roman" w:hAnsi="Times New Roman" w:cs="Times New Roman"/>
          <w:sz w:val="28"/>
          <w:szCs w:val="28"/>
        </w:rPr>
        <w:t>Анализ основных видов наказаний позволяет нам выделить следующие виды юридической ответственности.</w:t>
      </w:r>
    </w:p>
    <w:p w14:paraId="7AC45674" w14:textId="3FB3D059" w:rsidR="00FD2629" w:rsidRPr="00811E1F" w:rsidRDefault="00FD2629" w:rsidP="00FD2629">
      <w:pPr>
        <w:rPr>
          <w:rFonts w:ascii="Times New Roman" w:hAnsi="Times New Roman" w:cs="Times New Roman"/>
          <w:sz w:val="28"/>
          <w:szCs w:val="28"/>
        </w:rPr>
      </w:pPr>
      <w:r w:rsidRPr="00811E1F">
        <w:rPr>
          <w:rFonts w:ascii="Times New Roman" w:hAnsi="Times New Roman" w:cs="Times New Roman"/>
          <w:sz w:val="28"/>
          <w:szCs w:val="28"/>
        </w:rPr>
        <w:t>Имущественная ответственность предусматривала,</w:t>
      </w:r>
      <w:r w:rsidR="00C87CCE" w:rsidRPr="00811E1F">
        <w:rPr>
          <w:rFonts w:ascii="Times New Roman" w:hAnsi="Times New Roman" w:cs="Times New Roman"/>
          <w:sz w:val="28"/>
          <w:szCs w:val="28"/>
        </w:rPr>
        <w:t xml:space="preserve"> </w:t>
      </w:r>
      <w:r w:rsidRPr="00811E1F">
        <w:rPr>
          <w:rFonts w:ascii="Times New Roman" w:hAnsi="Times New Roman" w:cs="Times New Roman"/>
          <w:sz w:val="28"/>
          <w:szCs w:val="28"/>
        </w:rPr>
        <w:t>например возмещение ущерба («</w:t>
      </w:r>
      <w:proofErr w:type="spellStart"/>
      <w:r w:rsidRPr="00811E1F">
        <w:rPr>
          <w:rFonts w:ascii="Times New Roman" w:hAnsi="Times New Roman" w:cs="Times New Roman"/>
          <w:sz w:val="28"/>
          <w:szCs w:val="28"/>
        </w:rPr>
        <w:t>головщина</w:t>
      </w:r>
      <w:proofErr w:type="spellEnd"/>
      <w:r w:rsidRPr="00811E1F">
        <w:rPr>
          <w:rFonts w:ascii="Times New Roman" w:hAnsi="Times New Roman" w:cs="Times New Roman"/>
          <w:sz w:val="28"/>
          <w:szCs w:val="28"/>
        </w:rPr>
        <w:t>»). Она носила компенсационный характер и была направлена на восстановление прав потерпевшего (например, стоимость украденного, расходы на лечение при увечье)</w:t>
      </w:r>
      <w:r w:rsidR="004146DC" w:rsidRPr="00811E1F">
        <w:rPr>
          <w:rStyle w:val="ae"/>
          <w:rFonts w:ascii="Times New Roman" w:hAnsi="Times New Roman" w:cs="Times New Roman"/>
          <w:sz w:val="28"/>
          <w:szCs w:val="28"/>
        </w:rPr>
        <w:footnoteReference w:id="5"/>
      </w:r>
      <w:r w:rsidRPr="00811E1F">
        <w:rPr>
          <w:rFonts w:ascii="Times New Roman" w:hAnsi="Times New Roman" w:cs="Times New Roman"/>
          <w:sz w:val="28"/>
          <w:szCs w:val="28"/>
        </w:rPr>
        <w:t xml:space="preserve">. Штраф в пользу казны («продажа»). Это был уже публично-правовой вид юридической </w:t>
      </w:r>
      <w:r w:rsidRPr="00811E1F">
        <w:rPr>
          <w:rFonts w:ascii="Times New Roman" w:hAnsi="Times New Roman" w:cs="Times New Roman"/>
          <w:sz w:val="28"/>
          <w:szCs w:val="28"/>
        </w:rPr>
        <w:lastRenderedPageBreak/>
        <w:t xml:space="preserve">ответственности.Штраф </w:t>
      </w:r>
      <w:proofErr w:type="spellStart"/>
      <w:r w:rsidRPr="00811E1F">
        <w:rPr>
          <w:rFonts w:ascii="Times New Roman" w:hAnsi="Times New Roman" w:cs="Times New Roman"/>
          <w:sz w:val="28"/>
          <w:szCs w:val="28"/>
        </w:rPr>
        <w:t>взимался</w:t>
      </w:r>
      <w:proofErr w:type="spellEnd"/>
      <w:r w:rsidRPr="00811E1F">
        <w:rPr>
          <w:rFonts w:ascii="Times New Roman" w:hAnsi="Times New Roman" w:cs="Times New Roman"/>
          <w:sz w:val="28"/>
          <w:szCs w:val="28"/>
        </w:rPr>
        <w:t xml:space="preserve"> за преступления против государства и общественного порядка.</w:t>
      </w:r>
    </w:p>
    <w:p w14:paraId="593599D3" w14:textId="67B3DB2A" w:rsidR="00FD2629" w:rsidRPr="00811E1F" w:rsidRDefault="00FD2629" w:rsidP="00FD2629">
      <w:pPr>
        <w:rPr>
          <w:rFonts w:ascii="Times New Roman" w:hAnsi="Times New Roman" w:cs="Times New Roman"/>
          <w:sz w:val="28"/>
          <w:szCs w:val="28"/>
        </w:rPr>
      </w:pPr>
      <w:r w:rsidRPr="00811E1F">
        <w:rPr>
          <w:rFonts w:ascii="Times New Roman" w:hAnsi="Times New Roman" w:cs="Times New Roman"/>
          <w:sz w:val="28"/>
          <w:szCs w:val="28"/>
        </w:rPr>
        <w:t>Следующим видом юридической ответственности было применение телесных наказаний.</w:t>
      </w:r>
      <w:r w:rsidR="00DC08FE" w:rsidRPr="00811E1F">
        <w:rPr>
          <w:rFonts w:ascii="Times New Roman" w:hAnsi="Times New Roman" w:cs="Times New Roman"/>
          <w:sz w:val="28"/>
          <w:szCs w:val="28"/>
        </w:rPr>
        <w:t xml:space="preserve"> </w:t>
      </w:r>
      <w:r w:rsidRPr="00811E1F">
        <w:rPr>
          <w:rFonts w:ascii="Times New Roman" w:hAnsi="Times New Roman" w:cs="Times New Roman"/>
          <w:sz w:val="28"/>
          <w:szCs w:val="28"/>
        </w:rPr>
        <w:t>Данная группа санкций преследовала цели не только возмездия, но и публичного устрашения. Так, например торговая казнь представляла собой битье кнутом на торговой площади. По мимо физических страданий, данный вид наказаний воздействовал на психику человек</w:t>
      </w:r>
      <w:r w:rsidR="002A0197" w:rsidRPr="00811E1F">
        <w:rPr>
          <w:rFonts w:ascii="Times New Roman" w:hAnsi="Times New Roman" w:cs="Times New Roman"/>
          <w:sz w:val="28"/>
          <w:szCs w:val="28"/>
        </w:rPr>
        <w:t>а</w:t>
      </w:r>
      <w:r w:rsidRPr="00811E1F">
        <w:rPr>
          <w:rFonts w:ascii="Times New Roman" w:hAnsi="Times New Roman" w:cs="Times New Roman"/>
          <w:sz w:val="28"/>
          <w:szCs w:val="28"/>
        </w:rPr>
        <w:t xml:space="preserve"> Битье батогами было менее суровым видом наказаний, но также болезненным и назначался за мелкие проступки. Смертная казнь предусматривалась за «государево дело» (измену), разбой, церковную татьбу (кражу из церкви) и повторную кражу.</w:t>
      </w:r>
    </w:p>
    <w:p w14:paraId="785B0CE4" w14:textId="19A21C6C" w:rsidR="00FD2629" w:rsidRPr="00811E1F" w:rsidRDefault="00FD2629" w:rsidP="00FD2629">
      <w:pPr>
        <w:rPr>
          <w:rFonts w:ascii="Times New Roman" w:hAnsi="Times New Roman" w:cs="Times New Roman"/>
          <w:sz w:val="28"/>
          <w:szCs w:val="28"/>
        </w:rPr>
      </w:pPr>
      <w:r w:rsidRPr="00811E1F">
        <w:rPr>
          <w:rFonts w:ascii="Times New Roman" w:hAnsi="Times New Roman" w:cs="Times New Roman"/>
          <w:sz w:val="28"/>
          <w:szCs w:val="28"/>
        </w:rPr>
        <w:t>С развитием системы репрессивного аппарата государства,</w:t>
      </w:r>
      <w:r w:rsidR="0012604A" w:rsidRPr="00811E1F">
        <w:rPr>
          <w:rFonts w:ascii="Times New Roman" w:hAnsi="Times New Roman" w:cs="Times New Roman"/>
          <w:sz w:val="28"/>
          <w:szCs w:val="28"/>
        </w:rPr>
        <w:t xml:space="preserve"> </w:t>
      </w:r>
      <w:r w:rsidRPr="00811E1F">
        <w:rPr>
          <w:rFonts w:ascii="Times New Roman" w:hAnsi="Times New Roman" w:cs="Times New Roman"/>
          <w:sz w:val="28"/>
          <w:szCs w:val="28"/>
        </w:rPr>
        <w:t>в Судебнике получил закрепление такой вид юридической ответственности ,как ограничение и лишение свободы. Тюремное заключение окончательно закрепляется не только как место предварительного содержания, но и как мера наказания, в том числе на длительный срок. Такой вид наказания как ссылка использовался для изоляции опасных преступников и одновременной колонизации окраин].</w:t>
      </w:r>
    </w:p>
    <w:p w14:paraId="580A6D7B" w14:textId="77777777" w:rsidR="00FD2629" w:rsidRPr="00811E1F" w:rsidRDefault="00FD2629" w:rsidP="00FD2629">
      <w:pPr>
        <w:rPr>
          <w:rFonts w:ascii="Times New Roman" w:hAnsi="Times New Roman" w:cs="Times New Roman"/>
          <w:sz w:val="28"/>
          <w:szCs w:val="28"/>
        </w:rPr>
      </w:pPr>
      <w:r w:rsidRPr="00811E1F">
        <w:rPr>
          <w:rFonts w:ascii="Times New Roman" w:hAnsi="Times New Roman" w:cs="Times New Roman"/>
          <w:sz w:val="28"/>
          <w:szCs w:val="28"/>
        </w:rPr>
        <w:t>Юридическая ответственность по Судебнику 1550 года включает в себя дифференциацию ответственности по составам преступлений.</w:t>
      </w:r>
    </w:p>
    <w:p w14:paraId="2316DBAE" w14:textId="0AFDF577" w:rsidR="00FD2629" w:rsidRPr="00811E1F" w:rsidRDefault="00FD2629" w:rsidP="00FD2629">
      <w:pPr>
        <w:rPr>
          <w:rFonts w:ascii="Times New Roman" w:hAnsi="Times New Roman" w:cs="Times New Roman"/>
          <w:sz w:val="28"/>
          <w:szCs w:val="28"/>
        </w:rPr>
      </w:pPr>
      <w:r w:rsidRPr="00811E1F">
        <w:rPr>
          <w:rFonts w:ascii="Times New Roman" w:hAnsi="Times New Roman" w:cs="Times New Roman"/>
          <w:sz w:val="28"/>
          <w:szCs w:val="28"/>
        </w:rPr>
        <w:t>Судебник закрепляет правовой принцип– тяжесть наказания должна соответствовать тяжести и общественной опасности деяния. Это хорошо просматривается через призму конкретных составов ,таких как, за измену («государево слово») следовала безусловная смертная казнь с конфискацией имущества, что подчеркивало приоритет защиты основ государственности. За умышленное убийство была предусмотрена смертная казнь. Однако для высших сословий могла применяться замена-выплата «дикой виры» общиной</w:t>
      </w:r>
      <w:r w:rsidR="00FE0D10">
        <w:rPr>
          <w:rStyle w:val="ae"/>
          <w:rFonts w:ascii="Times New Roman" w:hAnsi="Times New Roman" w:cs="Times New Roman"/>
          <w:sz w:val="28"/>
          <w:szCs w:val="28"/>
        </w:rPr>
        <w:footnoteReference w:id="6"/>
      </w:r>
      <w:r w:rsidRPr="00811E1F">
        <w:rPr>
          <w:rFonts w:ascii="Times New Roman" w:hAnsi="Times New Roman" w:cs="Times New Roman"/>
          <w:sz w:val="28"/>
          <w:szCs w:val="28"/>
        </w:rPr>
        <w:t>. За тяжкие телесные повреждения виновный не только подвергался телесному наказанию, но и обязан был выплатить потерпевшему «бесчестье»-компенсацию за урон репутации и здоровью. Так, в исследуемом документе прослеживаются особенности феодального права, связанные с сословной сущностью государства</w:t>
      </w:r>
      <w:r w:rsidR="005422A7">
        <w:rPr>
          <w:rStyle w:val="ae"/>
          <w:rFonts w:ascii="Times New Roman" w:hAnsi="Times New Roman" w:cs="Times New Roman"/>
          <w:sz w:val="28"/>
          <w:szCs w:val="28"/>
        </w:rPr>
        <w:footnoteReference w:id="7"/>
      </w:r>
      <w:r w:rsidRPr="00811E1F">
        <w:rPr>
          <w:rFonts w:ascii="Times New Roman" w:hAnsi="Times New Roman" w:cs="Times New Roman"/>
          <w:sz w:val="28"/>
          <w:szCs w:val="28"/>
        </w:rPr>
        <w:t>. Простая кража в первый раз наказывалась торговой казнью и возмещением ущерба, а повторная кража-смертной казнь</w:t>
      </w:r>
      <w:r w:rsidR="00FE0D10">
        <w:rPr>
          <w:rFonts w:ascii="Times New Roman" w:hAnsi="Times New Roman" w:cs="Times New Roman"/>
          <w:sz w:val="28"/>
          <w:szCs w:val="28"/>
        </w:rPr>
        <w:t>ю.</w:t>
      </w:r>
      <w:r w:rsidRPr="00811E1F">
        <w:rPr>
          <w:rFonts w:ascii="Times New Roman" w:hAnsi="Times New Roman" w:cs="Times New Roman"/>
          <w:sz w:val="28"/>
          <w:szCs w:val="28"/>
        </w:rPr>
        <w:t xml:space="preserve"> Разбой, как преступление ,сопряженное с насилием, изначально рассматривался как </w:t>
      </w:r>
      <w:r w:rsidRPr="00811E1F">
        <w:rPr>
          <w:rFonts w:ascii="Times New Roman" w:hAnsi="Times New Roman" w:cs="Times New Roman"/>
          <w:sz w:val="28"/>
          <w:szCs w:val="28"/>
        </w:rPr>
        <w:lastRenderedPageBreak/>
        <w:t>более опасный и также карался смертной казнь</w:t>
      </w:r>
      <w:r w:rsidR="00604442" w:rsidRPr="00811E1F">
        <w:rPr>
          <w:rFonts w:ascii="Times New Roman" w:hAnsi="Times New Roman" w:cs="Times New Roman"/>
          <w:sz w:val="28"/>
          <w:szCs w:val="28"/>
        </w:rPr>
        <w:t>ю.</w:t>
      </w:r>
      <w:r w:rsidRPr="00811E1F">
        <w:rPr>
          <w:rFonts w:ascii="Times New Roman" w:hAnsi="Times New Roman" w:cs="Times New Roman"/>
          <w:sz w:val="28"/>
          <w:szCs w:val="28"/>
        </w:rPr>
        <w:t xml:space="preserve"> Таким образом, появляются зачатки уголовного права.</w:t>
      </w:r>
    </w:p>
    <w:p w14:paraId="3EF66D70" w14:textId="1A028848" w:rsidR="00FD2629" w:rsidRPr="00811E1F" w:rsidRDefault="00FD2629" w:rsidP="00FD2629">
      <w:pPr>
        <w:rPr>
          <w:rFonts w:ascii="Times New Roman" w:hAnsi="Times New Roman" w:cs="Times New Roman"/>
          <w:sz w:val="28"/>
          <w:szCs w:val="28"/>
        </w:rPr>
      </w:pPr>
      <w:r w:rsidRPr="00811E1F">
        <w:rPr>
          <w:rFonts w:ascii="Times New Roman" w:hAnsi="Times New Roman" w:cs="Times New Roman"/>
          <w:sz w:val="28"/>
          <w:szCs w:val="28"/>
        </w:rPr>
        <w:t>Несмотря на явно прогрессивный характер,</w:t>
      </w:r>
      <w:r w:rsidR="0012604A" w:rsidRPr="00811E1F">
        <w:rPr>
          <w:rFonts w:ascii="Times New Roman" w:hAnsi="Times New Roman" w:cs="Times New Roman"/>
          <w:sz w:val="28"/>
          <w:szCs w:val="28"/>
        </w:rPr>
        <w:t xml:space="preserve"> </w:t>
      </w:r>
      <w:r w:rsidRPr="00811E1F">
        <w:rPr>
          <w:rFonts w:ascii="Times New Roman" w:hAnsi="Times New Roman" w:cs="Times New Roman"/>
          <w:sz w:val="28"/>
          <w:szCs w:val="28"/>
        </w:rPr>
        <w:t>многие новые нормы Судебника 1550 года оказались не столь эффективными в правоприменительной практике. Связано это прежде всего с существованием в обществе сословного неравенства. Закон на бумаге провозглашал определенные гарантии, но на деле суд оставался сословным. Представители высших сословий почти никогда не подвергались торговой казни или пытке наравне с крестьянином. Неразвитость местной администрации ставила в зависимость исполнение судебных решений от воевод и приказчиков, которые зачастую были коррумпированы или не имели ресурсов для реализации судебных решений. Начало опричнины в 1565 году и последующие внесудебные расправы фактически девальвировали многие гуманные и процессуальные принципы, заложенные в Судебнике.</w:t>
      </w:r>
    </w:p>
    <w:p w14:paraId="0ED1499E" w14:textId="21DDB612" w:rsidR="00FD2629" w:rsidRPr="00811E1F" w:rsidRDefault="00FD2629" w:rsidP="00FD2629">
      <w:pPr>
        <w:rPr>
          <w:rFonts w:ascii="Times New Roman" w:hAnsi="Times New Roman" w:cs="Times New Roman"/>
          <w:sz w:val="28"/>
          <w:szCs w:val="28"/>
        </w:rPr>
      </w:pPr>
      <w:r w:rsidRPr="00811E1F">
        <w:rPr>
          <w:rFonts w:ascii="Times New Roman" w:hAnsi="Times New Roman" w:cs="Times New Roman"/>
          <w:sz w:val="28"/>
          <w:szCs w:val="28"/>
        </w:rPr>
        <w:t>Тем не менее,</w:t>
      </w:r>
      <w:r w:rsidR="0012604A" w:rsidRPr="00811E1F">
        <w:rPr>
          <w:rFonts w:ascii="Times New Roman" w:hAnsi="Times New Roman" w:cs="Times New Roman"/>
          <w:sz w:val="28"/>
          <w:szCs w:val="28"/>
        </w:rPr>
        <w:t xml:space="preserve"> </w:t>
      </w:r>
      <w:r w:rsidRPr="00811E1F">
        <w:rPr>
          <w:rFonts w:ascii="Times New Roman" w:hAnsi="Times New Roman" w:cs="Times New Roman"/>
          <w:sz w:val="28"/>
          <w:szCs w:val="28"/>
        </w:rPr>
        <w:t>Судебник 1550 года стал прогрессивным нормативным правовым актом в истории русского права того времени. Он систематизировал разрозненные правовые нормы и заложил основы единой общегосударственной системы юридической ответственности. Введенная им дифференциация наказаний в зависимости от тяжести преступления и детализация судебного процесса были значительным шагом в развитии уголовного законодательств</w:t>
      </w:r>
      <w:r w:rsidR="00A55962">
        <w:rPr>
          <w:rFonts w:ascii="Times New Roman" w:hAnsi="Times New Roman" w:cs="Times New Roman"/>
          <w:sz w:val="28"/>
          <w:szCs w:val="28"/>
        </w:rPr>
        <w:t>а</w:t>
      </w:r>
      <w:r w:rsidRPr="00811E1F">
        <w:rPr>
          <w:rFonts w:ascii="Times New Roman" w:hAnsi="Times New Roman" w:cs="Times New Roman"/>
          <w:sz w:val="28"/>
          <w:szCs w:val="28"/>
        </w:rPr>
        <w:t>. Судебник 1550 года не смог до конца преодолеть системные барьеры в виде сословного неравенства и слабости бюрократического аппарата. Судебник стал фундаментом для последующей масштабной кодификации, завершившей юридическое оформление крепостного права и государственного аппарата в России.</w:t>
      </w:r>
    </w:p>
    <w:p w14:paraId="0E01E368" w14:textId="77777777" w:rsidR="00FD2629" w:rsidRPr="00811E1F" w:rsidRDefault="00FD2629" w:rsidP="00FD2629">
      <w:pPr>
        <w:rPr>
          <w:rFonts w:ascii="Times New Roman" w:hAnsi="Times New Roman" w:cs="Times New Roman"/>
          <w:sz w:val="28"/>
          <w:szCs w:val="28"/>
        </w:rPr>
      </w:pPr>
    </w:p>
    <w:p w14:paraId="5CF6A3A5" w14:textId="77777777" w:rsidR="0070419A" w:rsidRPr="00811E1F" w:rsidRDefault="0070419A" w:rsidP="00FD2629">
      <w:pPr>
        <w:rPr>
          <w:rFonts w:ascii="Times New Roman" w:hAnsi="Times New Roman" w:cs="Times New Roman"/>
          <w:sz w:val="28"/>
          <w:szCs w:val="28"/>
        </w:rPr>
      </w:pPr>
    </w:p>
    <w:p w14:paraId="797DB850" w14:textId="03152344" w:rsidR="00FD2629" w:rsidRPr="00811E1F" w:rsidRDefault="00FD2629" w:rsidP="00FD2629">
      <w:pPr>
        <w:rPr>
          <w:rFonts w:ascii="Times New Roman" w:hAnsi="Times New Roman" w:cs="Times New Roman"/>
          <w:sz w:val="28"/>
          <w:szCs w:val="28"/>
        </w:rPr>
      </w:pPr>
      <w:r w:rsidRPr="00811E1F">
        <w:rPr>
          <w:rFonts w:ascii="Times New Roman" w:hAnsi="Times New Roman" w:cs="Times New Roman"/>
          <w:sz w:val="28"/>
          <w:szCs w:val="28"/>
        </w:rPr>
        <w:t>Список использованных источников и литературы</w:t>
      </w:r>
    </w:p>
    <w:p w14:paraId="6714C35B" w14:textId="77777777" w:rsidR="00FD2629" w:rsidRPr="00811E1F" w:rsidRDefault="00FD2629" w:rsidP="00FD2629">
      <w:pPr>
        <w:rPr>
          <w:rFonts w:ascii="Times New Roman" w:hAnsi="Times New Roman" w:cs="Times New Roman"/>
          <w:sz w:val="28"/>
          <w:szCs w:val="28"/>
        </w:rPr>
      </w:pPr>
    </w:p>
    <w:p w14:paraId="22976249" w14:textId="77777777" w:rsidR="00FD2629" w:rsidRPr="00811E1F" w:rsidRDefault="00FD2629" w:rsidP="00FD2629">
      <w:pPr>
        <w:rPr>
          <w:rFonts w:ascii="Times New Roman" w:hAnsi="Times New Roman" w:cs="Times New Roman"/>
          <w:sz w:val="28"/>
          <w:szCs w:val="28"/>
        </w:rPr>
      </w:pPr>
      <w:r w:rsidRPr="00811E1F">
        <w:rPr>
          <w:rFonts w:ascii="Times New Roman" w:hAnsi="Times New Roman" w:cs="Times New Roman"/>
          <w:sz w:val="28"/>
          <w:szCs w:val="28"/>
        </w:rPr>
        <w:t>1. Судебник 1550 года // Российское законодательство X-XX веков: В 9 т. Т. 2.- М.: Юридическая литература, 1985.</w:t>
      </w:r>
    </w:p>
    <w:p w14:paraId="24A25766" w14:textId="77777777" w:rsidR="00FD2629" w:rsidRPr="00811E1F" w:rsidRDefault="00FD2629" w:rsidP="00FD2629">
      <w:pPr>
        <w:rPr>
          <w:rFonts w:ascii="Times New Roman" w:hAnsi="Times New Roman" w:cs="Times New Roman"/>
          <w:sz w:val="28"/>
          <w:szCs w:val="28"/>
        </w:rPr>
      </w:pPr>
      <w:r w:rsidRPr="00811E1F">
        <w:rPr>
          <w:rFonts w:ascii="Times New Roman" w:hAnsi="Times New Roman" w:cs="Times New Roman"/>
          <w:sz w:val="28"/>
          <w:szCs w:val="28"/>
        </w:rPr>
        <w:t>2. Исаев И.А. История государства и права России: Учебник.-4-е изд.- М.: Проспект, 2019.</w:t>
      </w:r>
    </w:p>
    <w:p w14:paraId="02FFA579" w14:textId="77777777" w:rsidR="00FD2629" w:rsidRPr="00811E1F" w:rsidRDefault="00FD2629" w:rsidP="00FD2629">
      <w:pPr>
        <w:rPr>
          <w:rFonts w:ascii="Times New Roman" w:hAnsi="Times New Roman" w:cs="Times New Roman"/>
          <w:sz w:val="28"/>
          <w:szCs w:val="28"/>
        </w:rPr>
      </w:pPr>
      <w:r w:rsidRPr="00811E1F">
        <w:rPr>
          <w:rFonts w:ascii="Times New Roman" w:hAnsi="Times New Roman" w:cs="Times New Roman"/>
          <w:sz w:val="28"/>
          <w:szCs w:val="28"/>
        </w:rPr>
        <w:t>3. Беляев И.Д. История русского законодательства: Учебное пособие. – СПб.: Лань, 2001.</w:t>
      </w:r>
    </w:p>
    <w:p w14:paraId="247BB607" w14:textId="77777777" w:rsidR="00FD2629" w:rsidRPr="00811E1F" w:rsidRDefault="00FD2629" w:rsidP="00FD2629">
      <w:pPr>
        <w:rPr>
          <w:rFonts w:ascii="Times New Roman" w:hAnsi="Times New Roman" w:cs="Times New Roman"/>
          <w:sz w:val="28"/>
          <w:szCs w:val="28"/>
        </w:rPr>
      </w:pPr>
      <w:r w:rsidRPr="00811E1F">
        <w:rPr>
          <w:rFonts w:ascii="Times New Roman" w:hAnsi="Times New Roman" w:cs="Times New Roman"/>
          <w:sz w:val="28"/>
          <w:szCs w:val="28"/>
        </w:rPr>
        <w:lastRenderedPageBreak/>
        <w:t xml:space="preserve">4. Развитие русского права в XV-первой половине XVII в. / Отв. ред. В.С. </w:t>
      </w:r>
      <w:proofErr w:type="spellStart"/>
      <w:r w:rsidRPr="00811E1F">
        <w:rPr>
          <w:rFonts w:ascii="Times New Roman" w:hAnsi="Times New Roman" w:cs="Times New Roman"/>
          <w:sz w:val="28"/>
          <w:szCs w:val="28"/>
        </w:rPr>
        <w:t>Нерсесянц</w:t>
      </w:r>
      <w:proofErr w:type="spellEnd"/>
      <w:r w:rsidRPr="00811E1F">
        <w:rPr>
          <w:rFonts w:ascii="Times New Roman" w:hAnsi="Times New Roman" w:cs="Times New Roman"/>
          <w:sz w:val="28"/>
          <w:szCs w:val="28"/>
        </w:rPr>
        <w:t>.- М.: Норма, 2004.</w:t>
      </w:r>
    </w:p>
    <w:p w14:paraId="3902DE52" w14:textId="77777777" w:rsidR="00FD2629" w:rsidRPr="00811E1F" w:rsidRDefault="00FD2629" w:rsidP="00FD2629">
      <w:pPr>
        <w:rPr>
          <w:rFonts w:ascii="Times New Roman" w:hAnsi="Times New Roman" w:cs="Times New Roman"/>
          <w:sz w:val="28"/>
          <w:szCs w:val="28"/>
        </w:rPr>
      </w:pPr>
      <w:r w:rsidRPr="00811E1F">
        <w:rPr>
          <w:rFonts w:ascii="Times New Roman" w:hAnsi="Times New Roman" w:cs="Times New Roman"/>
          <w:sz w:val="28"/>
          <w:szCs w:val="28"/>
        </w:rPr>
        <w:t>5. Томсинов В.А. История русской политической и правовой мысли. X – XVIII века. – М.: Зерцало, 2003.</w:t>
      </w:r>
    </w:p>
    <w:p w14:paraId="3E17CDF9" w14:textId="77777777" w:rsidR="00FD2629" w:rsidRPr="00811E1F" w:rsidRDefault="00FD2629" w:rsidP="00FD2629">
      <w:pPr>
        <w:rPr>
          <w:rFonts w:ascii="Times New Roman" w:hAnsi="Times New Roman" w:cs="Times New Roman"/>
          <w:sz w:val="28"/>
          <w:szCs w:val="28"/>
        </w:rPr>
      </w:pPr>
      <w:r w:rsidRPr="00811E1F">
        <w:rPr>
          <w:rFonts w:ascii="Times New Roman" w:hAnsi="Times New Roman" w:cs="Times New Roman"/>
          <w:sz w:val="28"/>
          <w:szCs w:val="28"/>
        </w:rPr>
        <w:t>6. Российское государство и право на этапе сословно-представительной монархии: межвузовский сборник научных трудов / под ред. В.А. Рогова. – М.: МГУ, 2002.</w:t>
      </w:r>
    </w:p>
    <w:p w14:paraId="3245AFA9" w14:textId="77777777" w:rsidR="00FD2629" w:rsidRPr="00811E1F" w:rsidRDefault="00FD2629" w:rsidP="00FD2629">
      <w:pPr>
        <w:rPr>
          <w:rFonts w:ascii="Times New Roman" w:hAnsi="Times New Roman" w:cs="Times New Roman"/>
          <w:sz w:val="28"/>
          <w:szCs w:val="28"/>
        </w:rPr>
      </w:pPr>
      <w:r w:rsidRPr="00811E1F">
        <w:rPr>
          <w:rFonts w:ascii="Times New Roman" w:hAnsi="Times New Roman" w:cs="Times New Roman"/>
          <w:sz w:val="28"/>
          <w:szCs w:val="28"/>
        </w:rPr>
        <w:t xml:space="preserve">7. История отечественного государства и права: в 2 ч. Ч. 1 / под ред. О.И. Чистякова. – 6-е изд., </w:t>
      </w:r>
      <w:proofErr w:type="spellStart"/>
      <w:r w:rsidRPr="00811E1F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811E1F">
        <w:rPr>
          <w:rFonts w:ascii="Times New Roman" w:hAnsi="Times New Roman" w:cs="Times New Roman"/>
          <w:sz w:val="28"/>
          <w:szCs w:val="28"/>
        </w:rPr>
        <w:t xml:space="preserve">. и доп. – М.: </w:t>
      </w:r>
      <w:proofErr w:type="spellStart"/>
      <w:r w:rsidRPr="00811E1F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11E1F">
        <w:rPr>
          <w:rFonts w:ascii="Times New Roman" w:hAnsi="Times New Roman" w:cs="Times New Roman"/>
          <w:sz w:val="28"/>
          <w:szCs w:val="28"/>
        </w:rPr>
        <w:t>, 2013.</w:t>
      </w:r>
    </w:p>
    <w:p w14:paraId="202A3447" w14:textId="3670B6F1" w:rsidR="00FD2629" w:rsidRPr="00811E1F" w:rsidRDefault="00FD2629">
      <w:pPr>
        <w:rPr>
          <w:rFonts w:ascii="Times New Roman" w:hAnsi="Times New Roman" w:cs="Times New Roman"/>
          <w:sz w:val="28"/>
          <w:szCs w:val="28"/>
        </w:rPr>
      </w:pPr>
      <w:r w:rsidRPr="00811E1F">
        <w:rPr>
          <w:rFonts w:ascii="Times New Roman" w:hAnsi="Times New Roman" w:cs="Times New Roman"/>
          <w:sz w:val="28"/>
          <w:szCs w:val="28"/>
        </w:rPr>
        <w:t xml:space="preserve">8. Государственность России: идеи, люди, символы / под ред. Р.Г. </w:t>
      </w:r>
      <w:proofErr w:type="spellStart"/>
      <w:r w:rsidRPr="00811E1F">
        <w:rPr>
          <w:rFonts w:ascii="Times New Roman" w:hAnsi="Times New Roman" w:cs="Times New Roman"/>
          <w:sz w:val="28"/>
          <w:szCs w:val="28"/>
        </w:rPr>
        <w:t>Пихои</w:t>
      </w:r>
      <w:proofErr w:type="spellEnd"/>
      <w:r w:rsidRPr="00811E1F">
        <w:rPr>
          <w:rFonts w:ascii="Times New Roman" w:hAnsi="Times New Roman" w:cs="Times New Roman"/>
          <w:sz w:val="28"/>
          <w:szCs w:val="28"/>
        </w:rPr>
        <w:t>, А.Н. Сахарова. – М.: РОССПЭН, 2008.</w:t>
      </w:r>
    </w:p>
    <w:sectPr w:rsidR="00FD2629" w:rsidRPr="00811E1F" w:rsidSect="005039A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74D5A" w14:textId="77777777" w:rsidR="00EA2CBD" w:rsidRDefault="00EA2CBD" w:rsidP="00571118">
      <w:pPr>
        <w:spacing w:after="0" w:line="240" w:lineRule="auto"/>
      </w:pPr>
      <w:r>
        <w:separator/>
      </w:r>
    </w:p>
  </w:endnote>
  <w:endnote w:type="continuationSeparator" w:id="0">
    <w:p w14:paraId="6535BEAD" w14:textId="77777777" w:rsidR="00EA2CBD" w:rsidRDefault="00EA2CBD" w:rsidP="00571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panose1 w:val="020B0604020202020204"/>
    <w:charset w:val="CC"/>
    <w:family w:val="swiss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0DDF2" w14:textId="77777777" w:rsidR="00EA2CBD" w:rsidRDefault="00EA2CBD" w:rsidP="00571118">
      <w:pPr>
        <w:spacing w:after="0" w:line="240" w:lineRule="auto"/>
      </w:pPr>
      <w:r>
        <w:separator/>
      </w:r>
    </w:p>
  </w:footnote>
  <w:footnote w:type="continuationSeparator" w:id="0">
    <w:p w14:paraId="75032E20" w14:textId="77777777" w:rsidR="00EA2CBD" w:rsidRDefault="00EA2CBD" w:rsidP="00571118">
      <w:pPr>
        <w:spacing w:after="0" w:line="240" w:lineRule="auto"/>
      </w:pPr>
      <w:r>
        <w:continuationSeparator/>
      </w:r>
    </w:p>
  </w:footnote>
  <w:footnote w:id="1">
    <w:p w14:paraId="2D62599F" w14:textId="3AF9DC4B" w:rsidR="00571118" w:rsidRPr="00811E1F" w:rsidRDefault="00571118" w:rsidP="0054579D">
      <w:pPr>
        <w:rPr>
          <w:rFonts w:ascii="Times New Roman" w:hAnsi="Times New Roman" w:cs="Times New Roman"/>
          <w:sz w:val="20"/>
          <w:szCs w:val="20"/>
        </w:rPr>
      </w:pPr>
      <w:r>
        <w:rPr>
          <w:rStyle w:val="ae"/>
        </w:rPr>
        <w:footnoteRef/>
      </w:r>
      <w:r w:rsidRPr="00811E1F">
        <w:rPr>
          <w:rFonts w:ascii="Times New Roman" w:hAnsi="Times New Roman" w:cs="Times New Roman"/>
          <w:sz w:val="20"/>
          <w:szCs w:val="20"/>
        </w:rPr>
        <w:t>Судебник 1550 года // Российское законодательство X-XX веков: В 9 т. Т. 2.- М.: Юридическая литература, 1985.</w:t>
      </w:r>
    </w:p>
    <w:p w14:paraId="0DDE0261" w14:textId="3114E934" w:rsidR="00571118" w:rsidRPr="00811E1F" w:rsidRDefault="00571118">
      <w:pPr>
        <w:pStyle w:val="ac"/>
        <w:rPr>
          <w:rFonts w:ascii="Times New Roman" w:hAnsi="Times New Roman" w:cs="Times New Roman"/>
        </w:rPr>
      </w:pPr>
    </w:p>
  </w:footnote>
  <w:footnote w:id="2">
    <w:p w14:paraId="687714BC" w14:textId="77777777" w:rsidR="00DB50BA" w:rsidRPr="00811E1F" w:rsidRDefault="00DB50BA" w:rsidP="0054579D">
      <w:pPr>
        <w:rPr>
          <w:rFonts w:ascii="Times New Roman" w:hAnsi="Times New Roman" w:cs="Times New Roman"/>
          <w:sz w:val="20"/>
          <w:szCs w:val="20"/>
        </w:rPr>
      </w:pPr>
      <w:r w:rsidRPr="00811E1F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11E1F">
        <w:rPr>
          <w:rFonts w:ascii="Times New Roman" w:hAnsi="Times New Roman" w:cs="Times New Roman"/>
          <w:sz w:val="20"/>
          <w:szCs w:val="20"/>
        </w:rPr>
        <w:t xml:space="preserve"> Исаев И.А. История государства и права России: Учебник.-4-е изд.- М.: Проспект, 2019.</w:t>
      </w:r>
    </w:p>
    <w:p w14:paraId="0A65F410" w14:textId="3B63614A" w:rsidR="00DB50BA" w:rsidRPr="00811E1F" w:rsidRDefault="00DB50BA">
      <w:pPr>
        <w:pStyle w:val="ac"/>
        <w:rPr>
          <w:rFonts w:ascii="Times New Roman" w:hAnsi="Times New Roman" w:cs="Times New Roman"/>
        </w:rPr>
      </w:pPr>
    </w:p>
  </w:footnote>
  <w:footnote w:id="3">
    <w:p w14:paraId="1A621FA6" w14:textId="77777777" w:rsidR="00695139" w:rsidRPr="00811E1F" w:rsidRDefault="004E026C" w:rsidP="0054579D">
      <w:pPr>
        <w:rPr>
          <w:rFonts w:ascii="Times New Roman" w:hAnsi="Times New Roman" w:cs="Times New Roman"/>
          <w:sz w:val="20"/>
          <w:szCs w:val="20"/>
        </w:rPr>
      </w:pPr>
      <w:r w:rsidRPr="00811E1F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11E1F">
        <w:rPr>
          <w:rFonts w:ascii="Times New Roman" w:hAnsi="Times New Roman" w:cs="Times New Roman"/>
          <w:sz w:val="20"/>
          <w:szCs w:val="20"/>
        </w:rPr>
        <w:t xml:space="preserve"> </w:t>
      </w:r>
      <w:r w:rsidR="00695139" w:rsidRPr="00811E1F">
        <w:rPr>
          <w:rFonts w:ascii="Times New Roman" w:hAnsi="Times New Roman" w:cs="Times New Roman"/>
          <w:sz w:val="20"/>
          <w:szCs w:val="20"/>
        </w:rPr>
        <w:t>Беляев И.Д. История русского законодательства: Учебное пособие. – СПб.: Лань, 2001.</w:t>
      </w:r>
    </w:p>
    <w:p w14:paraId="511C61B8" w14:textId="4164D090" w:rsidR="004E026C" w:rsidRDefault="004E026C">
      <w:pPr>
        <w:pStyle w:val="ac"/>
      </w:pPr>
    </w:p>
  </w:footnote>
  <w:footnote w:id="4">
    <w:p w14:paraId="6728221D" w14:textId="77777777" w:rsidR="00E90921" w:rsidRPr="00811E1F" w:rsidRDefault="00E90921" w:rsidP="0054579D">
      <w:pPr>
        <w:rPr>
          <w:rFonts w:ascii="Times New Roman" w:hAnsi="Times New Roman" w:cs="Times New Roman"/>
          <w:sz w:val="20"/>
          <w:szCs w:val="20"/>
        </w:rPr>
      </w:pPr>
      <w:r>
        <w:rPr>
          <w:rStyle w:val="ae"/>
        </w:rPr>
        <w:footnoteRef/>
      </w:r>
      <w:r>
        <w:t xml:space="preserve"> </w:t>
      </w:r>
      <w:r w:rsidRPr="00811E1F">
        <w:rPr>
          <w:rFonts w:ascii="Times New Roman" w:hAnsi="Times New Roman" w:cs="Times New Roman"/>
          <w:sz w:val="20"/>
          <w:szCs w:val="20"/>
        </w:rPr>
        <w:t>Российское государство и право на этапе сословно-представительной монархии: межвузовский сборник научных трудов / под ред. В.А. Рогова. – М.: МГУ, 2002.</w:t>
      </w:r>
    </w:p>
    <w:p w14:paraId="4C88F16A" w14:textId="09B1B1D8" w:rsidR="00E90921" w:rsidRPr="00811E1F" w:rsidRDefault="00E90921">
      <w:pPr>
        <w:pStyle w:val="ac"/>
        <w:rPr>
          <w:rFonts w:ascii="Times New Roman" w:hAnsi="Times New Roman" w:cs="Times New Roman"/>
        </w:rPr>
      </w:pPr>
    </w:p>
  </w:footnote>
  <w:footnote w:id="5">
    <w:p w14:paraId="399409D3" w14:textId="77777777" w:rsidR="004146DC" w:rsidRPr="00811E1F" w:rsidRDefault="004146DC" w:rsidP="0054579D">
      <w:pPr>
        <w:rPr>
          <w:rFonts w:ascii="Times New Roman" w:hAnsi="Times New Roman" w:cs="Times New Roman"/>
          <w:sz w:val="20"/>
          <w:szCs w:val="20"/>
        </w:rPr>
      </w:pPr>
      <w:r w:rsidRPr="00811E1F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11E1F">
        <w:rPr>
          <w:rFonts w:ascii="Times New Roman" w:hAnsi="Times New Roman" w:cs="Times New Roman"/>
          <w:sz w:val="20"/>
          <w:szCs w:val="20"/>
        </w:rPr>
        <w:t xml:space="preserve"> История отечественного государства и права: в 2 ч. Ч. 1 / под ред. О.И. Чистякова. – 6-е изд., </w:t>
      </w:r>
      <w:proofErr w:type="spellStart"/>
      <w:r w:rsidRPr="00811E1F">
        <w:rPr>
          <w:rFonts w:ascii="Times New Roman" w:hAnsi="Times New Roman" w:cs="Times New Roman"/>
          <w:sz w:val="20"/>
          <w:szCs w:val="20"/>
        </w:rPr>
        <w:t>перераб</w:t>
      </w:r>
      <w:proofErr w:type="spellEnd"/>
      <w:r w:rsidRPr="00811E1F">
        <w:rPr>
          <w:rFonts w:ascii="Times New Roman" w:hAnsi="Times New Roman" w:cs="Times New Roman"/>
          <w:sz w:val="20"/>
          <w:szCs w:val="20"/>
        </w:rPr>
        <w:t xml:space="preserve">. и доп. – М.: </w:t>
      </w:r>
      <w:proofErr w:type="spellStart"/>
      <w:r w:rsidRPr="00811E1F">
        <w:rPr>
          <w:rFonts w:ascii="Times New Roman" w:hAnsi="Times New Roman" w:cs="Times New Roman"/>
          <w:sz w:val="20"/>
          <w:szCs w:val="20"/>
        </w:rPr>
        <w:t>Юрайт</w:t>
      </w:r>
      <w:proofErr w:type="spellEnd"/>
      <w:r w:rsidRPr="00811E1F">
        <w:rPr>
          <w:rFonts w:ascii="Times New Roman" w:hAnsi="Times New Roman" w:cs="Times New Roman"/>
          <w:sz w:val="20"/>
          <w:szCs w:val="20"/>
        </w:rPr>
        <w:t>, 2013.</w:t>
      </w:r>
    </w:p>
    <w:p w14:paraId="09A88A4C" w14:textId="7F49AAFB" w:rsidR="004146DC" w:rsidRPr="00811E1F" w:rsidRDefault="004146DC">
      <w:pPr>
        <w:pStyle w:val="ac"/>
        <w:rPr>
          <w:rFonts w:ascii="Times New Roman" w:hAnsi="Times New Roman" w:cs="Times New Roman"/>
        </w:rPr>
      </w:pPr>
    </w:p>
  </w:footnote>
  <w:footnote w:id="6">
    <w:p w14:paraId="149D9C63" w14:textId="77777777" w:rsidR="00FE0D10" w:rsidRPr="00FE0D10" w:rsidRDefault="00FE0D10" w:rsidP="00EA65A6">
      <w:pPr>
        <w:rPr>
          <w:rFonts w:ascii="Times New Roman" w:hAnsi="Times New Roman" w:cs="Times New Roman"/>
          <w:sz w:val="20"/>
          <w:szCs w:val="20"/>
        </w:rPr>
      </w:pPr>
      <w:r>
        <w:rPr>
          <w:rStyle w:val="ae"/>
        </w:rPr>
        <w:footnoteRef/>
      </w:r>
      <w:r>
        <w:t xml:space="preserve"> </w:t>
      </w:r>
      <w:r w:rsidRPr="00FE0D10">
        <w:rPr>
          <w:rFonts w:ascii="Times New Roman" w:hAnsi="Times New Roman" w:cs="Times New Roman"/>
          <w:sz w:val="20"/>
          <w:szCs w:val="20"/>
        </w:rPr>
        <w:t xml:space="preserve">История отечественного государства и права: в 2 ч. Ч. 1 / под ред. О.И. Чистякова. – 6-е изд., </w:t>
      </w:r>
      <w:proofErr w:type="spellStart"/>
      <w:r w:rsidRPr="00FE0D10">
        <w:rPr>
          <w:rFonts w:ascii="Times New Roman" w:hAnsi="Times New Roman" w:cs="Times New Roman"/>
          <w:sz w:val="20"/>
          <w:szCs w:val="20"/>
        </w:rPr>
        <w:t>перераб</w:t>
      </w:r>
      <w:proofErr w:type="spellEnd"/>
      <w:r w:rsidRPr="00FE0D10">
        <w:rPr>
          <w:rFonts w:ascii="Times New Roman" w:hAnsi="Times New Roman" w:cs="Times New Roman"/>
          <w:sz w:val="20"/>
          <w:szCs w:val="20"/>
        </w:rPr>
        <w:t xml:space="preserve">. и доп. – М.: </w:t>
      </w:r>
      <w:proofErr w:type="spellStart"/>
      <w:r w:rsidRPr="00FE0D10">
        <w:rPr>
          <w:rFonts w:ascii="Times New Roman" w:hAnsi="Times New Roman" w:cs="Times New Roman"/>
          <w:sz w:val="20"/>
          <w:szCs w:val="20"/>
        </w:rPr>
        <w:t>Юрайт</w:t>
      </w:r>
      <w:proofErr w:type="spellEnd"/>
      <w:r w:rsidRPr="00FE0D10">
        <w:rPr>
          <w:rFonts w:ascii="Times New Roman" w:hAnsi="Times New Roman" w:cs="Times New Roman"/>
          <w:sz w:val="20"/>
          <w:szCs w:val="20"/>
        </w:rPr>
        <w:t>, 2013.</w:t>
      </w:r>
    </w:p>
    <w:p w14:paraId="5DEC3586" w14:textId="7D854446" w:rsidR="00FE0D10" w:rsidRPr="00FE0D10" w:rsidRDefault="00FE0D10">
      <w:pPr>
        <w:pStyle w:val="ac"/>
      </w:pPr>
    </w:p>
  </w:footnote>
  <w:footnote w:id="7">
    <w:p w14:paraId="5A23072D" w14:textId="77777777" w:rsidR="005422A7" w:rsidRPr="005422A7" w:rsidRDefault="005422A7" w:rsidP="00EA65A6">
      <w:pPr>
        <w:rPr>
          <w:rFonts w:ascii="Times New Roman" w:hAnsi="Times New Roman" w:cs="Times New Roman"/>
          <w:sz w:val="20"/>
          <w:szCs w:val="20"/>
        </w:rPr>
      </w:pPr>
      <w:r w:rsidRPr="005422A7">
        <w:rPr>
          <w:rStyle w:val="ae"/>
          <w:sz w:val="20"/>
          <w:szCs w:val="20"/>
        </w:rPr>
        <w:footnoteRef/>
      </w:r>
      <w:r w:rsidRPr="005422A7">
        <w:rPr>
          <w:sz w:val="20"/>
          <w:szCs w:val="20"/>
        </w:rPr>
        <w:t xml:space="preserve"> </w:t>
      </w:r>
      <w:r w:rsidRPr="005422A7">
        <w:rPr>
          <w:rFonts w:ascii="Times New Roman" w:hAnsi="Times New Roman" w:cs="Times New Roman"/>
          <w:sz w:val="20"/>
          <w:szCs w:val="20"/>
        </w:rPr>
        <w:t xml:space="preserve">Государственность России: идеи, люди, символы / под ред. Р.Г. </w:t>
      </w:r>
      <w:proofErr w:type="spellStart"/>
      <w:r w:rsidRPr="005422A7">
        <w:rPr>
          <w:rFonts w:ascii="Times New Roman" w:hAnsi="Times New Roman" w:cs="Times New Roman"/>
          <w:sz w:val="20"/>
          <w:szCs w:val="20"/>
        </w:rPr>
        <w:t>Пихои</w:t>
      </w:r>
      <w:proofErr w:type="spellEnd"/>
      <w:r w:rsidRPr="005422A7">
        <w:rPr>
          <w:rFonts w:ascii="Times New Roman" w:hAnsi="Times New Roman" w:cs="Times New Roman"/>
          <w:sz w:val="20"/>
          <w:szCs w:val="20"/>
        </w:rPr>
        <w:t>, А.Н. Сахарова. – М.: РОССПЭН, 2008.</w:t>
      </w:r>
    </w:p>
    <w:p w14:paraId="4BBE8AD4" w14:textId="0CD72D01" w:rsidR="005422A7" w:rsidRDefault="005422A7">
      <w:pPr>
        <w:pStyle w:val="ac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mirrorMargin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629"/>
    <w:rsid w:val="00025B90"/>
    <w:rsid w:val="000A7C1A"/>
    <w:rsid w:val="001072A9"/>
    <w:rsid w:val="0012604A"/>
    <w:rsid w:val="00167280"/>
    <w:rsid w:val="00212F76"/>
    <w:rsid w:val="00264413"/>
    <w:rsid w:val="00283297"/>
    <w:rsid w:val="002A0197"/>
    <w:rsid w:val="002B4854"/>
    <w:rsid w:val="00374A14"/>
    <w:rsid w:val="004146DC"/>
    <w:rsid w:val="004421C8"/>
    <w:rsid w:val="00444E87"/>
    <w:rsid w:val="00490D78"/>
    <w:rsid w:val="004B21EB"/>
    <w:rsid w:val="004B7678"/>
    <w:rsid w:val="004E026C"/>
    <w:rsid w:val="005039A3"/>
    <w:rsid w:val="005422A7"/>
    <w:rsid w:val="00571118"/>
    <w:rsid w:val="005C2DE1"/>
    <w:rsid w:val="00604442"/>
    <w:rsid w:val="00667055"/>
    <w:rsid w:val="00690FD8"/>
    <w:rsid w:val="00695139"/>
    <w:rsid w:val="006E07D2"/>
    <w:rsid w:val="0070419A"/>
    <w:rsid w:val="0076183A"/>
    <w:rsid w:val="00811E1F"/>
    <w:rsid w:val="00837375"/>
    <w:rsid w:val="009B6754"/>
    <w:rsid w:val="00A55962"/>
    <w:rsid w:val="00C846A8"/>
    <w:rsid w:val="00C87CCE"/>
    <w:rsid w:val="00D87E48"/>
    <w:rsid w:val="00DB50BA"/>
    <w:rsid w:val="00DC08FE"/>
    <w:rsid w:val="00DC6179"/>
    <w:rsid w:val="00E6266D"/>
    <w:rsid w:val="00E90921"/>
    <w:rsid w:val="00E9119E"/>
    <w:rsid w:val="00E9194A"/>
    <w:rsid w:val="00EA2CBD"/>
    <w:rsid w:val="00EB5097"/>
    <w:rsid w:val="00F4763E"/>
    <w:rsid w:val="00FD2629"/>
    <w:rsid w:val="00FE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EEF967"/>
  <w15:chartTrackingRefBased/>
  <w15:docId w15:val="{4E2CAD42-67AC-EF4C-803D-A253E2337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D26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26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26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26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26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26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26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26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26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26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D26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D26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D262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D262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D262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D262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D262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D262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D26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D26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D26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D26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D26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D262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D262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D262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D26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D262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D2629"/>
    <w:rPr>
      <w:b/>
      <w:bCs/>
      <w:smallCaps/>
      <w:color w:val="0F4761" w:themeColor="accent1" w:themeShade="BF"/>
      <w:spacing w:val="5"/>
    </w:rPr>
  </w:style>
  <w:style w:type="paragraph" w:styleId="ac">
    <w:name w:val="footnote text"/>
    <w:basedOn w:val="a"/>
    <w:link w:val="ad"/>
    <w:uiPriority w:val="99"/>
    <w:semiHidden/>
    <w:unhideWhenUsed/>
    <w:rsid w:val="0057111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7111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71118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E911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9119E"/>
  </w:style>
  <w:style w:type="paragraph" w:styleId="af1">
    <w:name w:val="footer"/>
    <w:basedOn w:val="a"/>
    <w:link w:val="af2"/>
    <w:uiPriority w:val="99"/>
    <w:unhideWhenUsed/>
    <w:rsid w:val="00E911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9119E"/>
  </w:style>
  <w:style w:type="paragraph" w:styleId="af3">
    <w:name w:val="Normal (Web)"/>
    <w:basedOn w:val="a"/>
    <w:uiPriority w:val="99"/>
    <w:unhideWhenUsed/>
    <w:rsid w:val="00283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1193</Words>
  <Characters>6803</Characters>
  <Application>Microsoft Office Word</Application>
  <DocSecurity>0</DocSecurity>
  <Lines>56</Lines>
  <Paragraphs>15</Paragraphs>
  <ScaleCrop>false</ScaleCrop>
  <Company/>
  <LinksUpToDate>false</LinksUpToDate>
  <CharactersWithSpaces>7981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Шишкина</dc:creator>
  <cp:keywords/>
  <dc:description/>
  <cp:lastModifiedBy>lalala villa</cp:lastModifiedBy>
  <cp:revision>2</cp:revision>
  <dcterms:created xsi:type="dcterms:W3CDTF">2025-12-09T07:23:00Z</dcterms:created>
  <dcterms:modified xsi:type="dcterms:W3CDTF">2025-12-09T07:23:00Z</dcterms:modified>
</cp:coreProperties>
</file>