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4"/>
        <w:spacing w:before="0" w:beforeAutospacing="0" w:after="0" w:afterAutospacing="0"/>
        <w:shd w:val="clear" w:color="auto" w:fill="ffffff"/>
        <w:rPr>
          <w:rFonts w:ascii="Cambria" w:hAnsi="Cambria"/>
          <w:color w:val="000000"/>
          <w:sz w:val="56"/>
          <w:szCs w:val="56"/>
        </w:rPr>
      </w:pPr>
      <w:r>
        <w:rPr>
          <w:rStyle w:val="605"/>
          <w:b/>
          <w:bCs/>
          <w:color w:val="000000"/>
          <w:sz w:val="40"/>
          <w:szCs w:val="40"/>
        </w:rPr>
        <w:t xml:space="preserve">"</w:t>
      </w:r>
      <w:r>
        <w:rPr>
          <w:rStyle w:val="606"/>
          <w:rFonts w:ascii="Calibri" w:hAnsi="Calibri" w:cs="Calibri"/>
          <w:b/>
          <w:bCs/>
          <w:color w:val="002060"/>
          <w:sz w:val="80"/>
          <w:szCs w:val="80"/>
        </w:rPr>
        <w:t xml:space="preserve"> </w:t>
      </w:r>
      <w:r>
        <w:rPr>
          <w:rStyle w:val="607"/>
          <w:b/>
          <w:bCs/>
          <w:color w:val="000000"/>
          <w:sz w:val="40"/>
          <w:szCs w:val="40"/>
        </w:rPr>
        <w:t xml:space="preserve">Использование игровых технологий для коррекции нарушений развития и обучения детей с ТМНР"</w:t>
      </w:r>
      <w:r/>
    </w:p>
    <w:p>
      <w:pPr>
        <w:pStyle w:val="613"/>
        <w:jc w:val="right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</w:t>
      </w:r>
      <w:r/>
    </w:p>
    <w:p>
      <w:pPr>
        <w:pStyle w:val="613"/>
        <w:jc w:val="right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«Игра – это огромное светлое окно,</w:t>
      </w:r>
      <w:r/>
    </w:p>
    <w:p>
      <w:pPr>
        <w:pStyle w:val="613"/>
        <w:jc w:val="right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через </w:t>
      </w:r>
      <w:r>
        <w:rPr>
          <w:rStyle w:val="609"/>
          <w:color w:val="000000"/>
          <w:sz w:val="28"/>
          <w:szCs w:val="28"/>
        </w:rPr>
        <w:t xml:space="preserve">которое</w:t>
      </w:r>
      <w:r>
        <w:rPr>
          <w:rStyle w:val="609"/>
          <w:color w:val="000000"/>
          <w:sz w:val="28"/>
          <w:szCs w:val="28"/>
        </w:rPr>
        <w:t xml:space="preserve"> в духовный мир</w:t>
      </w:r>
      <w:r/>
    </w:p>
    <w:p>
      <w:pPr>
        <w:pStyle w:val="613"/>
        <w:jc w:val="right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ребенка вливается </w:t>
      </w:r>
      <w:r>
        <w:rPr>
          <w:rStyle w:val="609"/>
          <w:color w:val="000000"/>
          <w:sz w:val="28"/>
          <w:szCs w:val="28"/>
        </w:rPr>
        <w:t xml:space="preserve">живительный</w:t>
      </w:r>
      <w:r/>
    </w:p>
    <w:p>
      <w:pPr>
        <w:pStyle w:val="613"/>
        <w:jc w:val="right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поток представлений, понятий.</w:t>
      </w:r>
      <w:r/>
    </w:p>
    <w:p>
      <w:pPr>
        <w:pStyle w:val="613"/>
        <w:jc w:val="right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Игра – это искра, зажигающая</w:t>
      </w:r>
      <w:r/>
    </w:p>
    <w:p>
      <w:pPr>
        <w:pStyle w:val="613"/>
        <w:jc w:val="right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огонек пытливости</w:t>
      </w:r>
      <w:r/>
    </w:p>
    <w:p>
      <w:pPr>
        <w:pStyle w:val="613"/>
        <w:jc w:val="right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и любознательности».</w:t>
      </w:r>
      <w:r/>
    </w:p>
    <w:p>
      <w:pPr>
        <w:pStyle w:val="613"/>
        <w:jc w:val="right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В.А. Сухомлинский</w:t>
      </w:r>
      <w:r/>
    </w:p>
    <w:p>
      <w:pPr>
        <w:pStyle w:val="614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Игровая деятельность – важный этап в развитии психики и становлении личности каждого ребенка.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Игровая технология - это вид деятельности в условиях ситуаций, направленных на воссоздание и усвоение общественного опыта, в котором складывается и совершенствуется самоуправление поведением. Игровые технологии имеют различную направленность: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1) </w:t>
      </w:r>
      <w:r>
        <w:rPr>
          <w:rStyle w:val="609"/>
          <w:color w:val="000000"/>
          <w:sz w:val="28"/>
          <w:szCs w:val="28"/>
        </w:rPr>
        <w:t xml:space="preserve">дидактические</w:t>
      </w:r>
      <w:r>
        <w:rPr>
          <w:rStyle w:val="609"/>
          <w:color w:val="000000"/>
          <w:sz w:val="28"/>
          <w:szCs w:val="28"/>
        </w:rPr>
        <w:t xml:space="preserve"> – формирование определённых умений и навыков, необходимых в практической деятельности;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2) воспитывающие – воспитание самостоятельности, формирование определённых позиций, сотрудничества, коммуникабельности;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3) развивающие – развитие внимания, речи, мышления, рефлексии, мотивации учебной деятельности;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4) социализирующие – приобщение к нормам и ценностям общества; адаптация к условиям среды, </w:t>
      </w:r>
      <w:r>
        <w:rPr>
          <w:rStyle w:val="609"/>
          <w:color w:val="000000"/>
          <w:sz w:val="28"/>
          <w:szCs w:val="28"/>
        </w:rPr>
        <w:t xml:space="preserve">саморегуляция</w:t>
      </w:r>
      <w:r>
        <w:rPr>
          <w:rStyle w:val="609"/>
          <w:color w:val="000000"/>
          <w:sz w:val="28"/>
          <w:szCs w:val="28"/>
        </w:rPr>
        <w:t xml:space="preserve">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Понятие «игровые технологии» включает обширную группу приемов организации педагогического процесса в форме разных педагогических игр.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У детей с ТМНР оказываются несфор</w:t>
      </w:r>
      <w:r>
        <w:rPr>
          <w:rStyle w:val="609"/>
          <w:color w:val="000000"/>
          <w:sz w:val="28"/>
          <w:szCs w:val="28"/>
        </w:rPr>
        <w:t xml:space="preserve">мированными даже элементарные игровые действия. Сами они не обнаруживают потребности к игре, ни к самому игровому процессу. Даже будучи включенным в игру он не проявляет интереса ни к игрушкам, ни к самому игровому процессу. Ребёнок действует пассивно, без</w:t>
      </w:r>
      <w:r>
        <w:rPr>
          <w:rStyle w:val="609"/>
          <w:color w:val="000000"/>
          <w:sz w:val="28"/>
          <w:szCs w:val="28"/>
        </w:rPr>
        <w:t xml:space="preserve">различно, не получая удовольствия от выполняемых действий, только подчиняясь требованиям взрослого. Неустойчив интерес к игрушкам, не наблюдается даже кратковременного поглощения игрой. Случайные раздражители быстро отвлекают его внимание, после чего игра </w:t>
      </w:r>
      <w:r>
        <w:rPr>
          <w:rStyle w:val="609"/>
          <w:color w:val="000000"/>
          <w:sz w:val="28"/>
          <w:szCs w:val="28"/>
        </w:rPr>
        <w:t xml:space="preserve">прекращается. Сами по себе игрушки не стимулируют ребёнка к началу игры. О</w:t>
      </w:r>
      <w:r>
        <w:rPr>
          <w:rStyle w:val="609"/>
          <w:color w:val="000000"/>
          <w:sz w:val="28"/>
          <w:szCs w:val="28"/>
        </w:rPr>
        <w:t xml:space="preserve">н не знает, особенно в начале обучения, как можно сними действовать.  Дети с ТМНР не могут осуществлять перенос действий с одной игрушки на другую, сходную или аналогичную. Поэтому единственно возможный способ овладения игровой деятельностью – их обучение.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Игровая деятельность должна происходить на всех видах уроков и коррекционных занятий, что позволяет продвинуться в развитии.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Важным является подбор самой игры, она должна быть пригодна для проведения с данным конкретным ребенком.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Главной задачей модификации игр является создание доступной, понятной и посильной для ребенка с ТМНР игры, </w:t>
      </w:r>
      <w:r>
        <w:rPr>
          <w:rStyle w:val="609"/>
          <w:color w:val="000000"/>
          <w:sz w:val="28"/>
          <w:szCs w:val="28"/>
        </w:rPr>
        <w:t xml:space="preserve">которая будет способствовать его развитию. Модификация игр проводится в соответствии с одним из главных ее принципов – снижение уровня требований. Если ребенок не может выполнить задание в предъявляемом варианте, педагог упрощает и снижает требования до те</w:t>
      </w:r>
      <w:r>
        <w:rPr>
          <w:rStyle w:val="609"/>
          <w:color w:val="000000"/>
          <w:sz w:val="28"/>
          <w:szCs w:val="28"/>
        </w:rPr>
        <w:t xml:space="preserve">х пор, пока не окажется на уровне доступном ребенку. В некоторых случаях, когда ребенок справляется с поставленной задачей, можно попробовать повысить уровень требований на основе той же игры, попытаться сформировать у ребенка более сложные игровые навыки.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</w:t>
      </w:r>
      <w:r>
        <w:rPr>
          <w:rStyle w:val="609"/>
          <w:color w:val="000000"/>
          <w:sz w:val="28"/>
          <w:szCs w:val="28"/>
        </w:rPr>
        <w:t xml:space="preserve">   Например, при построении башни из кубиков, чередовать кубики по размеру, цвету. Если ребенок выполняет задание успешно, то в качестве усложнения можно предложить ребенку использовать большее количество кубиков или добавить кубики разного цвета, размера.</w:t>
      </w:r>
      <w:r/>
    </w:p>
    <w:p>
      <w:pPr>
        <w:pStyle w:val="617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8"/>
          <w:b/>
          <w:bCs/>
          <w:color w:val="000000"/>
          <w:sz w:val="28"/>
          <w:szCs w:val="28"/>
        </w:rPr>
        <w:t xml:space="preserve">Как играть с пирамидками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Лучше всего подойдут самые простые пирамиды — крупные, с пятью-шестью кольцами контрастных цветов, которые резко различаются по размеру.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Отверстия в кольцах должны быть большими, чтобы ребёнок смог надеть кольцо на стержень. Задача — побудить ребёнка самостоятельно снимать кольца со стержня пирамидки и надевать их обратно.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Взрослый берёт в свои ладони руки ребёнка и проводит ими по пирамидке, позволяет ребёнку осмотреть пирамидку со всех сторон. После этого показывает,</w:t>
      </w:r>
      <w:r>
        <w:rPr>
          <w:rStyle w:val="609"/>
          <w:color w:val="000000"/>
          <w:sz w:val="28"/>
          <w:szCs w:val="28"/>
        </w:rPr>
        <w:t xml:space="preserve"> как правильно снимать кольца с пирамидки, чтобы она не упала: аккуратным движением снизу вверх. Затем показывает, как надевать кольца на пирамидку. Пока ребёнок не способен собирать пирамидку в правильном порядке и будет делать это произвольно. На данном </w:t>
      </w:r>
      <w:r>
        <w:rPr>
          <w:rStyle w:val="609"/>
          <w:color w:val="000000"/>
          <w:sz w:val="28"/>
          <w:szCs w:val="28"/>
        </w:rPr>
        <w:t xml:space="preserve">этапе</w:t>
      </w:r>
      <w:r>
        <w:rPr>
          <w:rStyle w:val="609"/>
          <w:color w:val="000000"/>
          <w:sz w:val="28"/>
          <w:szCs w:val="28"/>
        </w:rPr>
        <w:t xml:space="preserve"> главное, чтобы ребёнок научился нанизывать на пирамидку кольца и снимать их.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Игры с пирамидкой: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1. Раскладывать колечки в ряд по увеличению или уменьшению размера.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2. Выкладывать колечки друг на друга в любом порядке. Построить самую устойчивую башню (положить колечки по убыванию размера). Собирать колечки от разных пирамидок и строить башню.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3. Выкладывать 2-4 колечка в порядке возрастания (убывания) размера и предлагать ребёнку выбрать из оставшихся колечек </w:t>
      </w:r>
      <w:r>
        <w:rPr>
          <w:rStyle w:val="609"/>
          <w:color w:val="000000"/>
          <w:sz w:val="28"/>
          <w:szCs w:val="28"/>
        </w:rPr>
        <w:t xml:space="preserve">подходящее</w:t>
      </w:r>
      <w:r>
        <w:rPr>
          <w:rStyle w:val="609"/>
          <w:color w:val="000000"/>
          <w:sz w:val="28"/>
          <w:szCs w:val="28"/>
        </w:rPr>
        <w:t xml:space="preserve"> для продолжения цепочки. 4. Выкладывать последовательности, пропуская </w:t>
      </w:r>
      <w:r>
        <w:rPr>
          <w:rStyle w:val="609"/>
          <w:color w:val="000000"/>
          <w:sz w:val="28"/>
          <w:szCs w:val="28"/>
        </w:rPr>
        <w:t xml:space="preserve">колечко в середине. Ребёнок должен найти, какое колечко должно занять пустое место.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5. Бросать колечки в корзинку. 6. Нанизывать колечки от пирамидки на веревку. Привязывать колечко от пирамидки к веревке - ребёнок будет стараться поймать раскачивающееся колечко. 7. На палочку от пирамидки можно надевать маленькие резинки для волос.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8. Расселять матрешек по домикам (колечкам пирамидок) соответствующего размера. Рассаживать бабочек разного размера на колечки-цветки, или по соответствию цветов (зелёную бабочку на зелёное колечко и т.п.).</w:t>
      </w:r>
      <w:r/>
    </w:p>
    <w:p>
      <w:pPr>
        <w:pStyle w:val="616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9. Нарисовать на колечках глаза, рот. Надеть колечко на палец и разыгрывать кукольные представления (самое большое колечко папа, поменьше – мама и т.п.)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Система предъявления материала должна быть доступна для ребенка. Перегрузка информацией, действиями и огромным количеством этапов делают многие игры непригодны</w:t>
      </w:r>
      <w:r>
        <w:rPr>
          <w:rStyle w:val="609"/>
          <w:color w:val="000000"/>
          <w:sz w:val="28"/>
          <w:szCs w:val="28"/>
        </w:rPr>
        <w:t xml:space="preserve">ми для применения их относительно детей с ТМНР. Педагогу следует структурировать содержание игры, то есть избавиться от сложных многоэтажных действий и длинных фраз, которые могут быть не понятны ребенку, могут сбить его с толку. Следует избегать перенасыщ</w:t>
      </w:r>
      <w:r>
        <w:rPr>
          <w:rStyle w:val="609"/>
          <w:color w:val="000000"/>
          <w:sz w:val="28"/>
          <w:szCs w:val="28"/>
        </w:rPr>
        <w:t xml:space="preserve">ения игры однообразными действиями, нужно постоянно увлекать ребенка. В тоже время не следует забывать, что данные дети имеют очень неустойчивый эмоциональный фон, поэтому так же не желательно перенасыщать игру яркими эмоциями, так как это может привести к</w:t>
      </w:r>
      <w:r>
        <w:rPr>
          <w:rStyle w:val="609"/>
          <w:color w:val="000000"/>
          <w:sz w:val="28"/>
          <w:szCs w:val="28"/>
        </w:rPr>
        <w:t xml:space="preserve"> эмоциональной неадекватности детей. Вместе с этим обязательно нужно переработать инструкцию, предъявляемую ребенку. Инструкция, предназначенная нормально развивающимся детям, часто представляет собой сообщение правил, которые распространяются на всю игру.</w:t>
      </w:r>
      <w:r>
        <w:rPr>
          <w:rStyle w:val="609"/>
          <w:color w:val="000000"/>
          <w:sz w:val="28"/>
          <w:szCs w:val="28"/>
        </w:rPr>
        <w:t xml:space="preserve"> Данный вариант не пригоден для игр с детьми с ТМНР. Следует избегать длинных, незнакомых слов. Предложения должны быть простыми, в них должно быть четко сказано, что требуется от ребенка. Следует заметить, что речь должна быть ласковой и эмоциональной. Ре</w:t>
      </w:r>
      <w:r>
        <w:rPr>
          <w:rStyle w:val="609"/>
          <w:color w:val="000000"/>
          <w:sz w:val="28"/>
          <w:szCs w:val="28"/>
        </w:rPr>
        <w:t xml:space="preserve">бенку во время игры необходимо чувствовать искреннюю симпатию и заинтересованность педагога к нему. У всех детей с ТМНР разный уровень самостоятельности, поэтому в процессе игры педагогу приходится использовать различные способы взаимодействия с ребенком (</w:t>
      </w:r>
      <w:r>
        <w:rPr>
          <w:rStyle w:val="609"/>
          <w:color w:val="000000"/>
          <w:sz w:val="28"/>
          <w:szCs w:val="28"/>
        </w:rPr>
        <w:t xml:space="preserve">сопряженно</w:t>
      </w:r>
      <w:r>
        <w:rPr>
          <w:rStyle w:val="609"/>
          <w:color w:val="000000"/>
          <w:sz w:val="28"/>
          <w:szCs w:val="28"/>
        </w:rPr>
        <w:t xml:space="preserve">, по подражанию, по образцу, по словесной инструкции).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Многие проблемы обучения и поведения детей с ТМНР являются результатом искажения процесса сенсорного развит</w:t>
      </w:r>
      <w:r>
        <w:rPr>
          <w:rStyle w:val="609"/>
          <w:color w:val="000000"/>
          <w:sz w:val="28"/>
          <w:szCs w:val="28"/>
        </w:rPr>
        <w:t xml:space="preserve">ия. У детей с ТМНР имеются разнообразные сенсорные расстройства, что делает коррекционную работу необходимой и проходящей через все виды деятельности. В качестве тренировочного материала используют образцы цветной бумаги, ткани, пирамиды, вкладыши, через и</w:t>
      </w:r>
      <w:r>
        <w:rPr>
          <w:rStyle w:val="609"/>
          <w:color w:val="000000"/>
          <w:sz w:val="28"/>
          <w:szCs w:val="28"/>
        </w:rPr>
        <w:t xml:space="preserve">гры «Собери лесенку по цвету», «Найди такой же по цвету, размеру». Для развития зрительного восприятия и элементов логического мышления можно использовать комплект геометрических фигур, игру «геометрическая мозаика», игру «Какая фигура спряталась?», блоки </w:t>
      </w:r>
      <w:r>
        <w:rPr>
          <w:rStyle w:val="609"/>
          <w:color w:val="000000"/>
          <w:sz w:val="28"/>
          <w:szCs w:val="28"/>
        </w:rPr>
        <w:t xml:space="preserve">Дьенеша</w:t>
      </w:r>
      <w:r>
        <w:rPr>
          <w:rStyle w:val="609"/>
          <w:color w:val="000000"/>
          <w:sz w:val="28"/>
          <w:szCs w:val="28"/>
        </w:rPr>
        <w:t xml:space="preserve"> (в игровой форме можно находить соответствующий этаж, </w:t>
      </w:r>
      <w:r>
        <w:rPr>
          <w:rStyle w:val="609"/>
          <w:color w:val="000000"/>
          <w:sz w:val="28"/>
          <w:szCs w:val="28"/>
        </w:rPr>
        <w:t xml:space="preserve">подъезд, где живут разные фигуры: желтые, толстые, маленькие треугольной формы и т.д.).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Для коррекции слухового восприятия, на формирование умения вслушиваться, узнавание знакомых звуков и голосов, различение звуков </w:t>
      </w:r>
      <w:r>
        <w:rPr>
          <w:rStyle w:val="609"/>
          <w:color w:val="000000"/>
          <w:sz w:val="28"/>
          <w:szCs w:val="28"/>
        </w:rPr>
        <w:t xml:space="preserve">и голосов по громкости можно проводить игры и упражнения на звукоподражание птицам, животным, людям. «Кто позвал?» - модуляция голоса, «Что упало?» - (звон упавшей монеты, линейки и др., предметов, которые в начале игры выставляются перед глазами ребенка).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Природная потребность в тактильных ощущениях велика, а в р</w:t>
      </w:r>
      <w:r>
        <w:rPr>
          <w:rStyle w:val="609"/>
          <w:color w:val="000000"/>
          <w:sz w:val="28"/>
          <w:szCs w:val="28"/>
        </w:rPr>
        <w:t xml:space="preserve">аботе с детьми с ТМНР просто незаменима. Для этого проводят игры и упражнения «Найди такую же поверхность», «Волшебный мешочек» (достань мягкое, круглое, колючее и т.д.). Материалы для тактильных игр могут быть самыми разнообразными: листья, шишки, бумага,</w:t>
      </w:r>
      <w:r>
        <w:rPr>
          <w:rStyle w:val="609"/>
          <w:color w:val="000000"/>
          <w:sz w:val="28"/>
          <w:szCs w:val="28"/>
        </w:rPr>
        <w:t xml:space="preserve"> пуговицы, ткань, семена гороха, фасоли и т.д. Хороший эффект дает использование массажных мячей, разных по форме, упругости, фактуре поверхности. Мячи обеспечивают широкий спектр разнообразных ощущений, которые можно получить, действуя с этими предметами.</w:t>
      </w:r>
      <w:r/>
    </w:p>
    <w:p>
      <w:pPr>
        <w:pStyle w:val="618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При ознакомлении с природой необходимо использовать природный материал (листья, </w:t>
      </w:r>
      <w:r>
        <w:rPr>
          <w:rStyle w:val="609"/>
          <w:color w:val="000000"/>
          <w:sz w:val="28"/>
          <w:szCs w:val="28"/>
        </w:rPr>
        <w:t xml:space="preserve">ветки, овощи, фрукты). Например, такие игры: «Угадай, что это» с завязанными глазами ребёнок должен отгадать и назвать, попробовав на вкус овощ или фрукт. «Собери все фрукты» или «Собери все овощи», эти игры развлекают детей, развиваются вкусовые качества.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 Игровые действия должны обязательно сопровождаться речью.</w:t>
      </w:r>
      <w:r/>
    </w:p>
    <w:p>
      <w:pPr>
        <w:pStyle w:val="618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19"/>
          <w:rFonts w:ascii="Calibri" w:hAnsi="Calibri" w:cs="Calibri"/>
          <w:color w:val="000000"/>
          <w:sz w:val="28"/>
          <w:szCs w:val="28"/>
        </w:rPr>
        <w:t xml:space="preserve">        </w:t>
      </w:r>
      <w:r>
        <w:rPr>
          <w:rStyle w:val="609"/>
          <w:color w:val="000000"/>
          <w:sz w:val="28"/>
          <w:szCs w:val="28"/>
        </w:rPr>
        <w:t xml:space="preserve">Особенно важны пальчиковые игры. Работа с пальчиковыми играми многообразна и очень э</w:t>
      </w:r>
      <w:r>
        <w:rPr>
          <w:rStyle w:val="609"/>
          <w:color w:val="000000"/>
          <w:sz w:val="28"/>
          <w:szCs w:val="28"/>
        </w:rPr>
        <w:t xml:space="preserve">ффективна, эти игры решают целый ряд задач, стоящих перед педагогами, что делает их незаменимым средством развития и обучения. Характеризуя состояние мелкой моторики у детей с ТМНР можно выделить следующие нарушения: слабость моторики пальцев и кистей рук;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-отклонения в координации движений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-медлительность и нечёткость движений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 нет согласованности в действиях обеих рук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-с большим трудом формируется техника письма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Для развития мелкой моторики можно использовать следующие упражнения: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-удержание вложенного в руку предмета разной формы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-перекатывание карандаша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-перекладывание предмета из одной руки в другую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-бросание предмета в различные ёмкости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 сжимание и разжимание поролоновой губки, мяча, ваты.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-рвать, разглаживать, комкать бумагу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-ощупывание, разминание, раскатывание пластилина, теста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-катание различных мячей в руках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-собирание пирамидки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-нанизывание колечек, бусинок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-рисование в воздухе.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-работа с пособиями по застёгиванию молний, пуговиц, кнопок, крючков, замков разной величины;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-сортировка монет;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-перебор крупы;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-работа со спичками;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-шнуровка на специальных рамках, ботинок;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-завязывание узлов на толстой веревке, на шнурке, нитке;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-игры с песком, водой;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-наматывание тонкой проволоки в цветной обмотке на катушку, на собственный палец (получается колечко или спираль);</w:t>
      </w:r>
      <w:r/>
    </w:p>
    <w:p>
      <w:pPr>
        <w:pStyle w:val="620"/>
        <w:ind w:firstLine="710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-закручивание шурупов, гаек и т.д.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Для того чтобы игра была эффективным средством развития и воспитания ребенка, при организации и проведении игр необходимо выполнение следующих условий: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1. Содержательные игры должны служить развитию и воспитанию.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Игры должны быть обязательно: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А) </w:t>
      </w:r>
      <w:r>
        <w:rPr>
          <w:rStyle w:val="609"/>
          <w:color w:val="000000"/>
          <w:sz w:val="28"/>
          <w:szCs w:val="28"/>
        </w:rPr>
        <w:t xml:space="preserve">эмоциональные</w:t>
      </w:r>
      <w:r>
        <w:rPr>
          <w:rStyle w:val="609"/>
          <w:color w:val="000000"/>
          <w:sz w:val="28"/>
          <w:szCs w:val="28"/>
        </w:rPr>
        <w:t xml:space="preserve"> (чтобы привлекали ребенка, доставляли ему удовольствие, радость);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Б) </w:t>
      </w:r>
      <w:r>
        <w:rPr>
          <w:rStyle w:val="609"/>
          <w:color w:val="000000"/>
          <w:sz w:val="28"/>
          <w:szCs w:val="28"/>
        </w:rPr>
        <w:t xml:space="preserve">познавательные</w:t>
      </w:r>
      <w:r>
        <w:rPr>
          <w:rStyle w:val="609"/>
          <w:color w:val="000000"/>
          <w:sz w:val="28"/>
          <w:szCs w:val="28"/>
        </w:rPr>
        <w:t xml:space="preserve">, обучающие (ребенок должен учиться чему-то новому, что-то узнавать, решать, мыслить);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В) игры должны быть социально ориентированные.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2. Необходимо, чтобы игра не потеряла своей ценности, свободы и непринужденности.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3. Необходим учет индивидуальных и возрастных особенностей.</w:t>
      </w:r>
      <w:r/>
    </w:p>
    <w:p>
      <w:pPr>
        <w:pStyle w:val="615"/>
        <w:jc w:val="both"/>
        <w:spacing w:before="0" w:beforeAutospacing="0" w:after="0" w:afterAutospacing="0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609"/>
          <w:color w:val="000000"/>
          <w:sz w:val="28"/>
          <w:szCs w:val="28"/>
        </w:rPr>
        <w:t xml:space="preserve">        При соблюдении этих условий игра будет служить развитию и воспитанию ребенка. Ребе</w:t>
      </w:r>
      <w:r>
        <w:rPr>
          <w:rStyle w:val="609"/>
          <w:color w:val="000000"/>
          <w:sz w:val="28"/>
          <w:szCs w:val="28"/>
        </w:rPr>
        <w:t xml:space="preserve">нок с проблемами в развитии получает удовольствие, достигает в игре результатов, преодолевая трудности. Однако, несмотря на наличие в отдельных случаях отрицательных эмоций, игра всегда приносит радость, удовольствие. Игра без радости перестает быть игрой.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 w:customStyle="1">
    <w:name w:val="c22"/>
    <w:basedOn w:val="5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03" w:customStyle="1">
    <w:name w:val="c6"/>
    <w:basedOn w:val="599"/>
  </w:style>
  <w:style w:type="paragraph" w:styleId="604" w:customStyle="1">
    <w:name w:val="c9"/>
    <w:basedOn w:val="5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05" w:customStyle="1">
    <w:name w:val="c24"/>
    <w:basedOn w:val="599"/>
  </w:style>
  <w:style w:type="character" w:styleId="606" w:customStyle="1">
    <w:name w:val="c21"/>
    <w:basedOn w:val="599"/>
  </w:style>
  <w:style w:type="character" w:styleId="607" w:customStyle="1">
    <w:name w:val="c13"/>
    <w:basedOn w:val="599"/>
  </w:style>
  <w:style w:type="character" w:styleId="608" w:customStyle="1">
    <w:name w:val="c15"/>
    <w:basedOn w:val="599"/>
  </w:style>
  <w:style w:type="character" w:styleId="609" w:customStyle="1">
    <w:name w:val="c1"/>
    <w:basedOn w:val="599"/>
  </w:style>
  <w:style w:type="paragraph" w:styleId="610" w:customStyle="1">
    <w:name w:val="c5"/>
    <w:basedOn w:val="5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11" w:customStyle="1">
    <w:name w:val="c17"/>
    <w:basedOn w:val="599"/>
  </w:style>
  <w:style w:type="character" w:styleId="612" w:customStyle="1">
    <w:name w:val="c26"/>
    <w:basedOn w:val="599"/>
  </w:style>
  <w:style w:type="paragraph" w:styleId="613" w:customStyle="1">
    <w:name w:val="c11"/>
    <w:basedOn w:val="5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14" w:customStyle="1">
    <w:name w:val="c12"/>
    <w:basedOn w:val="5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15" w:customStyle="1">
    <w:name w:val="c3"/>
    <w:basedOn w:val="5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16" w:customStyle="1">
    <w:name w:val="c7"/>
    <w:basedOn w:val="5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17" w:customStyle="1">
    <w:name w:val="c14"/>
    <w:basedOn w:val="5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18" w:customStyle="1">
    <w:name w:val="c8"/>
    <w:basedOn w:val="5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19" w:customStyle="1">
    <w:name w:val="c25"/>
    <w:basedOn w:val="599"/>
  </w:style>
  <w:style w:type="paragraph" w:styleId="620" w:customStyle="1">
    <w:name w:val="c2"/>
    <w:basedOn w:val="5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revision>4</cp:revision>
  <dcterms:created xsi:type="dcterms:W3CDTF">2025-12-22T15:26:00Z</dcterms:created>
  <dcterms:modified xsi:type="dcterms:W3CDTF">2025-12-25T05:57:55Z</dcterms:modified>
</cp:coreProperties>
</file>