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25" w:rsidRDefault="00DA4BAE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Свердловская детская железная дорога </w:t>
      </w:r>
    </w:p>
    <w:p w:rsidR="00322A25" w:rsidRDefault="00DA4BAE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структурное подразделение Свердловской железной дороги – филиал ОАО «РЖД»</w:t>
      </w: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22A25">
        <w:tc>
          <w:tcPr>
            <w:tcW w:w="4672" w:type="dxa"/>
          </w:tcPr>
          <w:p w:rsidR="00322A25" w:rsidRDefault="00DA4B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Рассмотрено и одобрено на </w:t>
            </w:r>
          </w:p>
          <w:p w:rsidR="00322A25" w:rsidRDefault="00DA4B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методическом совете СвДЖД</w:t>
            </w:r>
          </w:p>
          <w:p w:rsidR="00322A25" w:rsidRDefault="00DA4BAE" w:rsidP="001846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№ 1 от 18.09.202</w:t>
            </w:r>
            <w:r w:rsidR="00184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673" w:type="dxa"/>
          </w:tcPr>
          <w:p w:rsidR="00322A25" w:rsidRDefault="00DA4BAE">
            <w:pPr>
              <w:ind w:firstLine="70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УТВЕРЖАЮ:</w:t>
            </w:r>
          </w:p>
          <w:p w:rsidR="00322A25" w:rsidRDefault="00DA4BAE">
            <w:pPr>
              <w:ind w:firstLine="70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Начальник Свердловской детской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железной дороги </w:t>
            </w:r>
          </w:p>
          <w:p w:rsidR="00322A25" w:rsidRDefault="00DA4BAE">
            <w:pPr>
              <w:ind w:firstLine="70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______________М. В. Алалыкин</w:t>
            </w:r>
          </w:p>
          <w:p w:rsidR="00322A25" w:rsidRDefault="00322A2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22A25">
        <w:tc>
          <w:tcPr>
            <w:tcW w:w="4672" w:type="dxa"/>
          </w:tcPr>
          <w:p w:rsidR="00322A25" w:rsidRDefault="00322A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322A25" w:rsidRDefault="00322A25">
            <w:pPr>
              <w:ind w:firstLine="7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2A25" w:rsidRDefault="00DA4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К ДОПОЛНИТЕЛЬНОЙ ОБЩЕРАЗВИВАЮЩЕЙ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«Кампус Роста»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322A25" w:rsidRDefault="00DA4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Бронепоезда Свердловской железной дороги в годы Великой Отечественной войны»</w:t>
      </w:r>
    </w:p>
    <w:p w:rsidR="00322A25" w:rsidRDefault="00DA4BAE">
      <w:pPr>
        <w:spacing w:after="0" w:line="240" w:lineRule="auto"/>
        <w:jc w:val="center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(для групп всех годов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2A25" w:rsidRDefault="00DA4BAE">
      <w:pPr>
        <w:spacing w:after="0" w:line="240" w:lineRule="auto"/>
        <w:ind w:left="4530" w:firstLine="705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left="4320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left="4320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left="4320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left="4320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left="3686"/>
        <w:jc w:val="both"/>
        <w:rPr>
          <w:rFonts w:ascii="Segoe UI" w:eastAsia="Times New Roman" w:hAnsi="Segoe UI" w:cs="Segoe UI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обучающихся: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11 – 18 лет </w:t>
      </w:r>
    </w:p>
    <w:p w:rsidR="00322A25" w:rsidRDefault="00DA4BAE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программы: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академ.часов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322A25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25" w:rsidRDefault="00322A25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25" w:rsidRDefault="00DA4BAE">
      <w:pPr>
        <w:spacing w:after="0" w:line="240" w:lineRule="auto"/>
        <w:ind w:left="368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программы: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Здоровенко Е.Г., </w:t>
      </w:r>
    </w:p>
    <w:p w:rsidR="00322A25" w:rsidRDefault="00DA4BAE">
      <w:pPr>
        <w:spacing w:after="0" w:line="240" w:lineRule="auto"/>
        <w:ind w:left="3686"/>
        <w:rPr>
          <w:rFonts w:ascii="Segoe UI" w:eastAsia="Times New Roman" w:hAnsi="Segoe UI" w:cs="Segoe UI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методист СвДЖД</w:t>
      </w:r>
    </w:p>
    <w:p w:rsidR="00322A25" w:rsidRDefault="00DA4BAE">
      <w:pPr>
        <w:spacing w:after="0" w:line="240" w:lineRule="auto"/>
        <w:ind w:left="8850" w:firstLine="705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60E" w:rsidRDefault="0018460E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60E" w:rsidRDefault="0018460E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322A2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 </w:t>
      </w:r>
    </w:p>
    <w:p w:rsidR="00322A25" w:rsidRDefault="00DA4BAE">
      <w:pPr>
        <w:spacing w:after="0" w:line="240" w:lineRule="auto"/>
        <w:ind w:firstLine="705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846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22A25" w:rsidRDefault="00DA4BAE">
      <w:pPr>
        <w:shd w:val="clear" w:color="auto" w:fill="FFFFFF"/>
        <w:spacing w:after="12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22A25" w:rsidRDefault="0018460E">
      <w:pPr>
        <w:shd w:val="clear" w:color="auto" w:fill="FFFFFF"/>
        <w:spacing w:after="0" w:line="240" w:lineRule="auto"/>
        <w:ind w:firstLine="705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8460E">
        <w:rPr>
          <w:rFonts w:ascii="Times New Roman" w:eastAsia="Times New Roman" w:hAnsi="Times New Roman" w:cs="Times New Roman"/>
          <w:sz w:val="28"/>
          <w:szCs w:val="28"/>
          <w:lang w:eastAsia="ru-RU"/>
        </w:rPr>
        <w:t>еоретическая лекционная подготовка «Бронепоезда Свердловской железной дороги в годы Великой Отечественной войны»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к дополнительной общеразвивающей программе «Кампус Роста»,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наполнения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учебно-историческ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Свердловской железной дороги в годы Великой Отечественной войны»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и обязательна для применения на Свердловской детской железной дороге, рекомендована для занятий на Тюменской детской железной дороге, в профильных железнодорожных учебных зав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едениях и на предприятиях Свердловской железной дороги. </w:t>
      </w:r>
    </w:p>
    <w:p w:rsidR="00322A25" w:rsidRDefault="001846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</w:t>
      </w:r>
      <w:r w:rsidR="00DA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проведение профориентационных военно-патриотических занятий для сознательного осмысления</w:t>
      </w:r>
      <w:r w:rsidR="00DA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глубины трагедии в истории нашей страны, героизма и жертвенности нашего народа.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Погружение в изучение учебно-историческ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лекции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дань уважения и памяти всем нашим воинам-железно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дорожникам, их подвигам. Современные события нашего времени дают наглядный пример, что подрастающее поколение должно детально погружаться в изучение темы фашизма: его пагубного влияния в мире и в нашей стране в прошлом столетии. Поверхностные знания, форма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подход и условности в изучении темы ВОВ – не допустимы. </w:t>
      </w:r>
    </w:p>
    <w:p w:rsidR="00322A25" w:rsidRPr="0018460E" w:rsidRDefault="0018460E" w:rsidP="001846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640388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«Бронепоезда Свердловской железной дороги в 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 Великой Отечественной войны»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рассчитана на 4 часа.</w:t>
      </w:r>
      <w:r w:rsidR="00DA4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22A25" w:rsidRDefault="00DA4BAE">
      <w:pPr>
        <w:shd w:val="clear" w:color="auto" w:fill="FFFFFF"/>
        <w:spacing w:after="0" w:line="240" w:lineRule="auto"/>
        <w:ind w:firstLine="705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Теоретическое занятие проводит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184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 в год по 2 академических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322A25" w:rsidRDefault="00DA4BAE">
      <w:pPr>
        <w:shd w:val="clear" w:color="auto" w:fill="FFFFFF"/>
        <w:spacing w:after="0" w:line="240" w:lineRule="auto"/>
        <w:ind w:firstLine="705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вспомогательным учебно-методическим пособием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в период с марта – по июнь каждого учебного года, в рамках методических часов педагога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обучающимися детской железной дороги, но не более 2 дней в неделю и продолжительность в течение дня не более 4 академических часов с одним или несколькими перерывами. 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Наполняемость группы: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теоретических занятий – не ограничена (при групповом заняти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и), для индивидуальных занятий в группах (в том числе онлайн) – от 12 до 15 человек. 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от 11 до 18 лет. 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Проявление интереса у молодёжи к теме исторических событий Великой Отечественной войны.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Встречи молодого 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оления с ветеранами ВОВ, живой диалог на праздничных мероприятиях.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Знакомство и изучение материалов о железнодорожном транспорте в годы ВОВ, специфика работы Свердловской железной дороги в военное время.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Привлечение молодёжи к проблеме сохранения пам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 о подвиге советского народа в годы Великой Отечественной войны, вкладе тружеников железных дорог в Победу.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Осмысление глубины трагедии в истории нашей страны, изучение героизма Свердловских железнодорожников.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Дать допол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нительные знания и справочно-методический материал, собранные редкие архивные материалы о работе Свердловской железной дороге в годы ВОВ для обучающихся, с целью их подготовки к конкурсным или реферативным работам, возможности их самоподготовки и развития.</w:t>
      </w:r>
    </w:p>
    <w:p w:rsidR="00322A25" w:rsidRDefault="00DA4BAE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322A25" w:rsidRDefault="00DA4BAE">
      <w:pPr>
        <w:spacing w:after="0" w:line="240" w:lineRule="auto"/>
        <w:ind w:firstLine="70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Научно-методические ресурсы реализации программы: 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материалов Свердловского центра научно-технической информации и библиотек Свердловской железной дороги, фондов Музея истории, науки и техники Свердловской железной дороги (г. Екатеринбур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и его филиалов в городе Перми, Тюмени, Нижнем Тагиле; использование научных работ из фондов Музея железных дорог России (г. Санкт-Петербург).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Использованная литература, ссылки, сайты: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Дадыко С. Р., Драйчик И. И. Вагоностроение. Справочное пособие /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Р. Дадыко, И. И. Драйчик; Гос. науч.-техн. Из-во машиностроит. лит-ры – М. : Машгиз, 1954. 564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Никифоров Ю. Н. Обработка древесины для ремонта вагонов / Ю. Н. Никифоров – М. : Государственное транспортное издательство, 1949. 296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адур Л. А., Челноков И. И., Никольский Л. Н. Конструкция вагонов / Л. А. Шадур, И. И. Челноков, Л. Н. Никольский и др. – М. : Всесоюзное издательско-полиграфическое объединение МПС, 1962. 416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Лукьянин В. П. Больше века на службе России / В.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Лукьянин – Екатеринбург : СВ-96, 1998. 350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Спиранский А. В. На войне как на войне… Свердловская область в 1941 – 1945 гг. / А. В. Спиранский – Екатеринбург : СОКРАТ, 2015. 408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Долматов В. Главные документы Великой Отечественной войн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ы. Альбом / В. Долматов;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 правда – Подольск : , Подольская фабрика офсетной печати, 2015. 400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Пути сообщения в военном деле / сост., науч. ред. П. В. Игнатьев, Н. Ю. Бринюк, Э. Л. Коршунов, А. И. Рупасов; Военная академия Генеральн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штаба ВС РФ, науч.-исслед. инст. (военной истории) и др. – С-Пб. : ГАЛАРТ+, 2022. 608 с. : ил. 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Эвакуация: величайшая из битв Второй мировой войны / группа авторов К. Д. Бугров, Е. А. Бурденков, П. В. Шлыков, А. В. Сперанский и др.; МАУК «Музей исто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Екатеринбурга» – Екатеринбург : , ФОРАТ, 2022. 240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Люди и годы. 120 лет локомотивному хозяйству Свердловской железной дороги. Сборник / составитель А. И. Марговенко – Екатеринбург : СВ-96, 2000. 304 с. : ил.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Технический справочник желез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нодорожника: том 6 – Подвижной состав / Отв. ред. к.т.н. В. Н. Сологубов. – М : Государственное транспортное издательство, 1952. 956 с.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Вагоны широкой колеи железных дорог СССР: Краткий справочник / Отв. ред. Д. М. Юдзон. МПС СССР Главное управление 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гонного хозяйства – М : Государственное транспортное издательство, 1955. 156 с.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Руководство по организации и работе военно-санитарных поездов / Главное военно-санитарное управление Красной Армии – М. : Наркомздрав СССР, Медгиз, 1942. 120 с.</w:t>
      </w:r>
    </w:p>
    <w:p w:rsidR="00322A25" w:rsidRDefault="00DA4BAE">
      <w:pPr>
        <w:spacing w:before="120"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46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Достижения Свердловской железной дороги в годы Великой Отечественной войны. Сборник / составитель Е. Г. Здоровенко; Свердловский центр научно-технической информации и библиотек – Екатеринбург : ,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ипография Управления СВЖД, 2023. 164 с. : ил.</w:t>
      </w:r>
    </w:p>
    <w:p w:rsidR="0018460E" w:rsidRDefault="00184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460E" w:rsidRDefault="00184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A25" w:rsidRDefault="00DA4BAE">
      <w:pPr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 - ТЕМАТИЧЕСКОЕ ПЛАНИРОВАНИЕ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22A25" w:rsidRDefault="00DA4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 «Бронепоезда Свердловской железной дороги в годы Великой Отечественной войны»</w:t>
      </w:r>
    </w:p>
    <w:p w:rsidR="00322A25" w:rsidRDefault="00DA4B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(для групп всех годов обучения)</w:t>
      </w:r>
    </w:p>
    <w:p w:rsidR="00322A25" w:rsidRDefault="0032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1495"/>
        <w:gridCol w:w="1298"/>
        <w:gridCol w:w="5454"/>
      </w:tblGrid>
      <w:tr w:rsidR="00322A25"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DA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раздела/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2A25" w:rsidRDefault="00DA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DA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недели проведения занятий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DA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учебных часов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2A25" w:rsidRDefault="00DA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 теоретического занятия /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практического занятия с вспомогательным учебно-методическим пособием</w:t>
            </w:r>
          </w:p>
        </w:tc>
      </w:tr>
      <w:tr w:rsidR="00322A25"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18460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DA4BA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322A25" w:rsidRDefault="00DA4BAE">
            <w:pPr>
              <w:spacing w:after="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22A25" w:rsidRDefault="00DA4BAE">
            <w:pPr>
              <w:spacing w:after="0" w:line="3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Бронепоезда Свердловской железной дороги в годы Великой Отечественной войны</w:t>
            </w:r>
          </w:p>
        </w:tc>
      </w:tr>
      <w:tr w:rsidR="00322A25"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18460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</w:tcPr>
          <w:p w:rsidR="00322A25" w:rsidRDefault="00DA4BA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322A25" w:rsidRDefault="00DA4BA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2A25" w:rsidRDefault="00DA4BAE">
            <w:pPr>
              <w:spacing w:after="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Знаменательные события и факты в годы Великой отечественной войны</w:t>
            </w:r>
          </w:p>
        </w:tc>
      </w:tr>
    </w:tbl>
    <w:p w:rsidR="00322A25" w:rsidRDefault="00DA4BA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 w:clear="all"/>
      </w:r>
    </w:p>
    <w:p w:rsidR="00322A25" w:rsidRDefault="00DA4BA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ЛЕКЦИОННАЯ ЧАСТЬ ДЛЯ ТЕОРЕТИЧЕСКИХ ЗАНЯТИЙ</w:t>
      </w:r>
    </w:p>
    <w:p w:rsidR="00322A25" w:rsidRDefault="00DA4BAE">
      <w:pPr>
        <w:spacing w:after="120" w:line="2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«Бронепоезда Свердловской железной дороги в годы Великой Отечественной войны»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точки зрения военной тактики, бронепоезд сегодня это такая же экзотика, как конная армия. Однако этот вид вооружения был весьма эффективен на протяжении почти 100 лет. Бронепоезда закончили службу после окончания 2-й мировой войны, а начали, как только п</w:t>
      </w:r>
      <w:r>
        <w:rPr>
          <w:rFonts w:ascii="Times New Roman" w:hAnsi="Times New Roman"/>
          <w:sz w:val="28"/>
          <w:szCs w:val="28"/>
        </w:rPr>
        <w:t>оявились железные дороги.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Теория вооруженного бронирования поезда появилась в 20-е гг. 19 века во Франции, сразу после начала строительства первых железных дорог. Армия Северных соединенных штатов в 1861 г. установила орудия на железнодорожных платформах. </w:t>
      </w:r>
      <w:r>
        <w:rPr>
          <w:rFonts w:ascii="Times New Roman" w:hAnsi="Times New Roman"/>
          <w:sz w:val="28"/>
          <w:szCs w:val="28"/>
        </w:rPr>
        <w:t>А в 1871 г. во время франко – прусской войны прусские войска установили несколько пушек на железнодорожную платформу. Такая батарея, передвигаясь, могла обстреливать осажденный Париж не с одного места. А с разных сторон.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Именно такие платформы использовал </w:t>
      </w:r>
      <w:r>
        <w:rPr>
          <w:rFonts w:ascii="Times New Roman" w:hAnsi="Times New Roman"/>
          <w:sz w:val="28"/>
          <w:szCs w:val="28"/>
        </w:rPr>
        <w:t>французский инженер Мужен в 1884 г. при проектировании бронированного вооруженного вагона. Бронепоезд представлял собой бронированный подвижной железнодорожный состав, состоящий из бронепопаровоза (бронетепловоза), нескольких броневагонов или бронеплощадок</w:t>
      </w:r>
      <w:r>
        <w:rPr>
          <w:rFonts w:ascii="Times New Roman" w:hAnsi="Times New Roman"/>
          <w:sz w:val="28"/>
          <w:szCs w:val="28"/>
        </w:rPr>
        <w:t xml:space="preserve">, с укрепленным на них вооружением – пулеметы или пушки. Кроме того, в состав бронепоезда входили 2 или 4 платформы прикрытия, предназначенные для ведения боевых действий в прифронтовой полосе. 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Такие бронепоезда впервые стали широко применяться Великобри</w:t>
      </w:r>
      <w:r>
        <w:rPr>
          <w:rFonts w:ascii="Times New Roman" w:hAnsi="Times New Roman"/>
          <w:sz w:val="28"/>
          <w:szCs w:val="28"/>
        </w:rPr>
        <w:t xml:space="preserve">танией во время англо-бурской войны 1899-1902 гг. в южной Африке.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1-й мировой войны уже все участвовавшие в ней страны использовали бронепоезда. Это армии Германии, Австро-Венгрии, России, Франции и Италии. Тогда же стали применять и бронедрезины</w:t>
      </w:r>
      <w:r>
        <w:rPr>
          <w:rFonts w:ascii="Times New Roman" w:hAnsi="Times New Roman"/>
          <w:sz w:val="28"/>
          <w:szCs w:val="28"/>
        </w:rPr>
        <w:t>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1915 г. на Путиловском заводе был разработан тип бронепоезда для русской армии. Он состоял из бронированного паровоза, двух бронеплощадок </w:t>
      </w:r>
      <w:r>
        <w:rPr>
          <w:rFonts w:ascii="Times New Roman" w:hAnsi="Times New Roman"/>
          <w:sz w:val="28"/>
          <w:szCs w:val="28"/>
        </w:rPr>
        <w:lastRenderedPageBreak/>
        <w:t xml:space="preserve">с мощными гаубицами и двух-трех платформ, именуемых «контрольными». Они контролировали состояние железнодорожного </w:t>
      </w:r>
      <w:r>
        <w:rPr>
          <w:rFonts w:ascii="Times New Roman" w:hAnsi="Times New Roman"/>
          <w:sz w:val="28"/>
          <w:szCs w:val="28"/>
        </w:rPr>
        <w:t>пути, на них размещались рельсы, шпалы, костыли для ремонта полотна.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Гражданской войны бронепоезд стал главным участником. Этому способствовало отсутствие четких линий фронтов Гражданской войны, большое количество нерегулярных войск, борьба за в</w:t>
      </w:r>
      <w:r>
        <w:rPr>
          <w:rFonts w:ascii="Times New Roman" w:hAnsi="Times New Roman"/>
          <w:sz w:val="28"/>
          <w:szCs w:val="28"/>
        </w:rPr>
        <w:t xml:space="preserve">ладение железными дорогами, которые были главным средством переброски войск, боеприпасов, продовольствия. Часть бронепоездов РККА получила от русской Императорской армии, но было и развернуто строительство новых бронепоездов. Большая часть их была собрана </w:t>
      </w:r>
      <w:r>
        <w:rPr>
          <w:rFonts w:ascii="Times New Roman" w:hAnsi="Times New Roman"/>
          <w:sz w:val="28"/>
          <w:szCs w:val="28"/>
        </w:rPr>
        <w:t>из подручных материалов и просто пассажирских вагонов, без чертежей и документации.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концу Гражданской войны в распоряжении Центрального совета броневых частей было 122 полноценных бронепоезда, имели характерные названия: «Ленин», «Память товарища Урицког</w:t>
      </w:r>
      <w:r>
        <w:rPr>
          <w:rFonts w:ascii="Times New Roman" w:hAnsi="Times New Roman"/>
          <w:sz w:val="28"/>
          <w:szCs w:val="28"/>
        </w:rPr>
        <w:t xml:space="preserve">о». «Имени 3-го Интернационала», «Гибель контрреволюции» и др.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Бронепоезда Белой армии так же имели названия: «Адмирал Колчак», «Вперед за Родину», «Единая Россия», «Святой Георгий Победоносец».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Выгодными качествами бронепоездов были: быстрота, маневренн</w:t>
      </w:r>
      <w:r>
        <w:rPr>
          <w:rFonts w:ascii="Times New Roman" w:hAnsi="Times New Roman"/>
          <w:sz w:val="28"/>
          <w:szCs w:val="28"/>
        </w:rPr>
        <w:t>ость, сила огня и мощная огневая защита. Кроме того, к бронепоезду можно было прицепить и несколько вагонов с грузами. Но применение бронепоездов выявило и их основной недостаток. Бронепоезд становился мишенью для артиллерийских и воздушных ударов. Зависим</w:t>
      </w:r>
      <w:r>
        <w:rPr>
          <w:rFonts w:ascii="Times New Roman" w:hAnsi="Times New Roman"/>
          <w:sz w:val="28"/>
          <w:szCs w:val="28"/>
        </w:rPr>
        <w:t>ость от железной дороги лишала его маневренности – достаточно было разрушить железнодорожного полотно впереди и позади бронепоезда.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Гражданской войны на вооружении Красной Армии было 10 дивизионов бронепоездов, которые были переданы Главном</w:t>
      </w:r>
      <w:r>
        <w:rPr>
          <w:rFonts w:ascii="Times New Roman" w:hAnsi="Times New Roman"/>
          <w:sz w:val="28"/>
          <w:szCs w:val="28"/>
        </w:rPr>
        <w:t xml:space="preserve">у артиллерийскому управлению. Техническое усовершенствование бронепоездов продолжалось между двумя Мировыми войнами, а Брянский завод «Красный Профинтерн» был основной базой строительства бронепоездов и бронеплощадок.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Материальная часть бронепоездов состо</w:t>
      </w:r>
      <w:r>
        <w:rPr>
          <w:rFonts w:ascii="Times New Roman" w:hAnsi="Times New Roman"/>
          <w:sz w:val="28"/>
          <w:szCs w:val="28"/>
        </w:rPr>
        <w:t xml:space="preserve">яла из бронепаровоза, двух – четырех бронеплощадок, площадок противовоздушной обороны (ПВО) и четырех контрольных платформ.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бронепаровоз, на тендере которого сооружалась командирская рубка, использовались машины серии О различных модификаций (О</w:t>
      </w:r>
      <w:r>
        <w:rPr>
          <w:rFonts w:ascii="Times New Roman" w:hAnsi="Times New Roman"/>
          <w:sz w:val="28"/>
          <w:szCs w:val="28"/>
          <w:vertAlign w:val="superscript"/>
        </w:rPr>
        <w:t>в</w:t>
      </w:r>
      <w:r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  <w:vertAlign w:val="superscript"/>
        </w:rPr>
        <w:t>д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perscript"/>
        </w:rPr>
        <w:t>н</w:t>
      </w:r>
      <w:r>
        <w:rPr>
          <w:rFonts w:ascii="Times New Roman" w:hAnsi="Times New Roman"/>
          <w:sz w:val="28"/>
          <w:szCs w:val="28"/>
        </w:rPr>
        <w:t>,О</w:t>
      </w:r>
      <w:r>
        <w:rPr>
          <w:rFonts w:ascii="Times New Roman" w:hAnsi="Times New Roman"/>
          <w:sz w:val="28"/>
          <w:szCs w:val="28"/>
          <w:vertAlign w:val="superscript"/>
        </w:rPr>
        <w:t>к</w:t>
      </w:r>
      <w:r>
        <w:rPr>
          <w:rFonts w:ascii="Times New Roman" w:hAnsi="Times New Roman"/>
          <w:sz w:val="28"/>
          <w:szCs w:val="28"/>
        </w:rPr>
        <w:t xml:space="preserve">), которые были основными грузовыми машинами и эксплуатировались на всех дорогах. (1890 г., Вацлав Иванович Лопушинский, формула 0-4-0, скорость 50 км\час, поезд до 730 тонн). 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Бронеплощадка пр</w:t>
      </w:r>
      <w:r>
        <w:rPr>
          <w:rFonts w:ascii="Times New Roman" w:hAnsi="Times New Roman"/>
          <w:sz w:val="28"/>
          <w:szCs w:val="28"/>
        </w:rPr>
        <w:t>едставляла собой усиленную четырехосную железнодорожную п</w:t>
      </w:r>
      <w:r>
        <w:rPr>
          <w:rFonts w:ascii="Times New Roman" w:hAnsi="Times New Roman"/>
          <w:sz w:val="28"/>
          <w:szCs w:val="28"/>
        </w:rPr>
        <w:t xml:space="preserve">латформу, имеющую стальной корпус с 1 или 2-мя орудийными башнями. Верхняя часть бронеплощадки – это кузов, закрытый броней (25 мм сверху, 45 мм с боков), нижняя часть – рама с тележками, рессорами, упряжными и буферными устройствами.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Орудийная башня креп</w:t>
      </w:r>
      <w:r>
        <w:rPr>
          <w:rFonts w:ascii="Times New Roman" w:hAnsi="Times New Roman"/>
          <w:sz w:val="28"/>
          <w:szCs w:val="28"/>
        </w:rPr>
        <w:t xml:space="preserve">илась на металлическом каркасе внутри бронеплощадки. Позднее, на бронепоездах стали устанавливать башни от танка Т-34, которая вращалась на 360◦. Для входа в башню и подачи снарядов были сделаны двери, а под ними – запасные люки.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1941 год вооружение бр</w:t>
      </w:r>
      <w:r>
        <w:rPr>
          <w:rFonts w:ascii="Times New Roman" w:hAnsi="Times New Roman"/>
          <w:sz w:val="28"/>
          <w:szCs w:val="28"/>
        </w:rPr>
        <w:t>онепоездов состояло из четырех 76-мм короткоствольных орудий, образца 1902 или 1927/32 гг.; восьми станковых пулеметов системы «Максим», «ДТ» (Дегтярев танковый) или бельгийский «Браунинг». Пулеметы устанавливались в амбразурах, по 2 на каждой стороне площ</w:t>
      </w:r>
      <w:r>
        <w:rPr>
          <w:rFonts w:ascii="Times New Roman" w:hAnsi="Times New Roman"/>
          <w:sz w:val="28"/>
          <w:szCs w:val="28"/>
        </w:rPr>
        <w:t>адки. Бои 1941 - 1942 гг. показали уязвимость таких бронепоездов.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боев бронепаровоз становился между бронеплощадками и обязательно тендером к противнику. Т.о. команда «назад» означала движение вперед, а команда «вперед» обозначала движение бронепоез</w:t>
      </w:r>
      <w:r>
        <w:rPr>
          <w:rFonts w:ascii="Times New Roman" w:hAnsi="Times New Roman"/>
          <w:sz w:val="28"/>
          <w:szCs w:val="28"/>
        </w:rPr>
        <w:t>да от линии фронта.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боевой части бронепоезда для хозяйственных и бытовых нужд присоединялось от 6 до 20 товарных и пассажирских вагонов, так называемая - БАЗА. В том числе база имела вагон-штаб, вагон-кухню, вагон-мастерскую, </w:t>
      </w:r>
      <w:r>
        <w:rPr>
          <w:rFonts w:ascii="Times New Roman" w:hAnsi="Times New Roman"/>
          <w:sz w:val="28"/>
          <w:szCs w:val="28"/>
        </w:rPr>
        <w:lastRenderedPageBreak/>
        <w:t>вагон-клуб. При ведении боев</w:t>
      </w:r>
      <w:r>
        <w:rPr>
          <w:rFonts w:ascii="Times New Roman" w:hAnsi="Times New Roman"/>
          <w:sz w:val="28"/>
          <w:szCs w:val="28"/>
        </w:rPr>
        <w:t>ых действий база оставалась в тылу, на ближайшей железнодорожной станции.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разведки дивизиону бронепоездов придавались бронедрезины, бронемашины и грузовые машины (ГАЗ – АА). Я так подробно останавливаюсь на устройстве бронепоездов, чтобы бы</w:t>
      </w:r>
      <w:r>
        <w:rPr>
          <w:rFonts w:ascii="Times New Roman" w:hAnsi="Times New Roman"/>
          <w:sz w:val="28"/>
          <w:szCs w:val="28"/>
        </w:rPr>
        <w:t>ло понятно, с какими трудностями столкнулись паровозные депо в зиму 1941 – 1942 гг. при строительстве бронепоездов. Ведь это были депо, а не заводы.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началу ВОВ Красная Армия располагала 53 бронепоездами (из них 34 было легких), а в Главном автобронетанко</w:t>
      </w:r>
      <w:r>
        <w:rPr>
          <w:rFonts w:ascii="Times New Roman" w:hAnsi="Times New Roman"/>
          <w:sz w:val="28"/>
          <w:szCs w:val="28"/>
        </w:rPr>
        <w:t>вом управлении РККА был создан отдел бронепоездов. В августе – сентябре 1941 г. проектная документация для строительства бронепоездов типа ОБ -3 была разработана на Полтавском паровозоремонтном заводе, а изготовлением бронепоездов в системе НКПС занимались</w:t>
      </w:r>
      <w:r>
        <w:rPr>
          <w:rFonts w:ascii="Times New Roman" w:hAnsi="Times New Roman"/>
          <w:sz w:val="28"/>
          <w:szCs w:val="28"/>
        </w:rPr>
        <w:t xml:space="preserve"> 9 заводов и 43 депо.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октября 1941 г. при начальнике Главного Авто-Бронетанкового Управления Красной Армии (ГАБТУ КА) </w:t>
      </w:r>
      <w:r>
        <w:rPr>
          <w:rFonts w:ascii="Times New Roman" w:hAnsi="Times New Roman"/>
          <w:sz w:val="28"/>
          <w:szCs w:val="28"/>
        </w:rPr>
        <w:t xml:space="preserve">создан отдел бронепоездов. Аналогичный отдел бронепоездов был создан и в НКПС, которому было поручено проектирование 2-осной бронеплощадки. 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двухнедельный срок отдел разработал несколько проектов бронировки 2-осных платформ, из которых руководство Красно</w:t>
      </w:r>
      <w:r>
        <w:rPr>
          <w:rFonts w:ascii="Times New Roman" w:hAnsi="Times New Roman"/>
          <w:sz w:val="28"/>
          <w:szCs w:val="28"/>
        </w:rPr>
        <w:t xml:space="preserve">й Армии одобрило вариант № 3. Новая броне единица в документах получила обозначение </w:t>
      </w:r>
      <w:r>
        <w:rPr>
          <w:rFonts w:ascii="Times New Roman" w:hAnsi="Times New Roman"/>
          <w:b/>
          <w:sz w:val="28"/>
          <w:szCs w:val="28"/>
        </w:rPr>
        <w:t>ОБ-3</w:t>
      </w:r>
      <w:r>
        <w:rPr>
          <w:rFonts w:ascii="Times New Roman" w:hAnsi="Times New Roman"/>
          <w:sz w:val="28"/>
          <w:szCs w:val="28"/>
        </w:rPr>
        <w:t xml:space="preserve"> (облегчённая бронеплощадка, третий вариант), позже этот индекс стали применять и целиком к бронепоездам с такими площадками. Состав типа   ОБ-3 включал бронепаровоз, ч</w:t>
      </w:r>
      <w:r>
        <w:rPr>
          <w:rFonts w:ascii="Times New Roman" w:hAnsi="Times New Roman"/>
          <w:sz w:val="28"/>
          <w:szCs w:val="28"/>
        </w:rPr>
        <w:t xml:space="preserve">етыре </w:t>
      </w:r>
      <w:r>
        <w:rPr>
          <w:rFonts w:ascii="Times New Roman" w:hAnsi="Times New Roman"/>
          <w:b/>
          <w:sz w:val="28"/>
          <w:szCs w:val="28"/>
        </w:rPr>
        <w:t>2-осные</w:t>
      </w:r>
      <w:r>
        <w:rPr>
          <w:rFonts w:ascii="Times New Roman" w:hAnsi="Times New Roman"/>
          <w:sz w:val="28"/>
          <w:szCs w:val="28"/>
        </w:rPr>
        <w:t xml:space="preserve"> артиллерийские бронеплощадки и бронеплощадку ПВО с зенитными пушками и пулемётами.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Из-за срочности задания по изготовлению бронепоездов разработать детальные чертежи бронеплощадки ОБ-3 не успели. После утверждения общей конструкции корпуса и </w:t>
      </w:r>
      <w:r>
        <w:rPr>
          <w:rFonts w:ascii="Times New Roman" w:hAnsi="Times New Roman"/>
          <w:sz w:val="28"/>
          <w:szCs w:val="28"/>
        </w:rPr>
        <w:t>башни общий вид ОБ-3 в перспективном изображении с указанными основными габаритными размерами, необходимыми для раскроя бронелистов, разослали на пункты строительства.</w:t>
      </w:r>
    </w:p>
    <w:p w:rsidR="00322A25" w:rsidRDefault="00322A25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Покрытие бронепоездов делалось из незакаленных листов, так как предприятия НКПС не про</w:t>
      </w:r>
      <w:r>
        <w:rPr>
          <w:rFonts w:ascii="Times New Roman" w:hAnsi="Times New Roman"/>
          <w:sz w:val="28"/>
          <w:szCs w:val="28"/>
        </w:rPr>
        <w:t xml:space="preserve">водили термическую обработку стали. Такие бронепоезда получили название «импровизированные» или «инициативные», созданные по инициативе трудовых коллективов. Примером такого бронепоезда был «Молотовский рабочий», изготовленный на Пермской железной дороге. 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городе Молотов резолюция о строительстве первого бронепоезда своими силами была принята сначала на собрании коммунистов Паровозного депо станции «Пермь-2», а 15 ноября 1941 г. её одобрило собрание активистов Кагановического района. Инициатива была подде</w:t>
      </w:r>
      <w:r>
        <w:rPr>
          <w:rFonts w:ascii="Times New Roman" w:hAnsi="Times New Roman"/>
          <w:sz w:val="28"/>
          <w:szCs w:val="28"/>
        </w:rPr>
        <w:t>ржана НКПС, и Пермскому паровозному депо было дано задание построить бронепоезд.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Работники Пермской железной дороги провели ряд воскресников и весь заработок передали в фонд постройки бронепоезда. Были выделены паровоз серии О</w:t>
      </w:r>
      <w:r>
        <w:rPr>
          <w:rFonts w:ascii="Times New Roman" w:hAnsi="Times New Roman"/>
          <w:sz w:val="28"/>
          <w:szCs w:val="28"/>
          <w:vertAlign w:val="superscript"/>
        </w:rPr>
        <w:t>В</w:t>
      </w:r>
      <w:r>
        <w:rPr>
          <w:rFonts w:ascii="Times New Roman" w:hAnsi="Times New Roman"/>
          <w:sz w:val="28"/>
          <w:szCs w:val="28"/>
        </w:rPr>
        <w:t>, 2 четырехосных полувагона п</w:t>
      </w:r>
      <w:r>
        <w:rPr>
          <w:rFonts w:ascii="Times New Roman" w:hAnsi="Times New Roman"/>
          <w:sz w:val="28"/>
          <w:szCs w:val="28"/>
        </w:rPr>
        <w:t>од бронирование и контрольные платформы для путейского имущества. Строили бронепоезд по чертежам броневого поезда образца 1935 г., покрытый термически необработанной сталью. Вооружение «Молотовского рабочего» состояло из зенитного орудия 1914 г. и станковы</w:t>
      </w:r>
      <w:r>
        <w:rPr>
          <w:rFonts w:ascii="Times New Roman" w:hAnsi="Times New Roman"/>
          <w:sz w:val="28"/>
          <w:szCs w:val="28"/>
        </w:rPr>
        <w:t xml:space="preserve">х пулеметов «браунинг».  </w:t>
      </w:r>
    </w:p>
    <w:p w:rsidR="00322A25" w:rsidRDefault="00DA4BAE">
      <w:pPr>
        <w:spacing w:after="120" w:line="36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Личный состав пополнили за счёт железнодорожников и паровозоремонтников, причём брали только добровольцев. Командиром назначили тоже местного - старшего лейтенанта Василия Решетникова. </w:t>
      </w:r>
    </w:p>
    <w:p w:rsidR="00322A25" w:rsidRDefault="00DA4BAE">
      <w:pPr>
        <w:pStyle w:val="StGen0"/>
        <w:spacing w:before="0" w:beforeAutospacing="0" w:after="12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Паровозные бригады: машинисты Н. И. Максимов</w:t>
      </w:r>
      <w:r>
        <w:rPr>
          <w:sz w:val="28"/>
          <w:szCs w:val="28"/>
        </w:rPr>
        <w:t xml:space="preserve">ых, М. И. Косков, помощники машинистов Я.Ф. Политов и А.И. Костылев, кочегары М.И. Борков и Н.М. Москвин.  </w:t>
      </w:r>
    </w:p>
    <w:p w:rsidR="00322A25" w:rsidRDefault="00DA4BAE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самом начале ВОВ бронепоезда в организационном отношении действовали каждый самостоятельно. Но уже с октября 1941 г. началось объединение бронепое</w:t>
      </w:r>
      <w:r>
        <w:rPr>
          <w:rFonts w:ascii="Times New Roman" w:hAnsi="Times New Roman"/>
          <w:sz w:val="28"/>
          <w:szCs w:val="28"/>
        </w:rPr>
        <w:t>здов в отдельные дивизионы – ОДБП.  В ноябре 1941 г. было уже 40 дивизионов.  В состав дивизиона входило 2 бронепоезда, база и управление.</w:t>
      </w:r>
    </w:p>
    <w:p w:rsidR="00322A25" w:rsidRDefault="00DA4BAE">
      <w:pPr>
        <w:pStyle w:val="StGen0"/>
        <w:spacing w:before="0" w:beforeAutospacing="0" w:after="12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 декабря 1941 бронепоезд «Молотовский рабочий» был выведен на первый путь главного направления и после торжественных</w:t>
      </w:r>
      <w:r>
        <w:rPr>
          <w:sz w:val="28"/>
          <w:szCs w:val="28"/>
        </w:rPr>
        <w:t xml:space="preserve"> проводов двинулся в Москву, где в январе 1942 г. вошёл в состав 30-го отдельного дивизиона бронепоездов (ОДБП). </w:t>
      </w:r>
    </w:p>
    <w:p w:rsidR="00322A25" w:rsidRDefault="00DA4BA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28 февраля 1942 г. бронепоезд в составе дивизиона убыл из Москвы в распоряжение командования Северо-Западного фронта, где 9 марта вошёл в сост</w:t>
      </w:r>
      <w:r>
        <w:rPr>
          <w:rFonts w:ascii="Times New Roman" w:hAnsi="Times New Roman"/>
          <w:sz w:val="28"/>
          <w:szCs w:val="28"/>
        </w:rPr>
        <w:t>ав 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армии. В боях в районе станции Лычково бронепоезд поддерживал наступление частей 162-й стрелковой дивизии. </w:t>
      </w:r>
    </w:p>
    <w:p w:rsidR="00322A25" w:rsidRDefault="00DA4BA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марта 9 бомбардировщиков Ю-88 совершили 3 налёта на бронепоезда дивизиона. Погибли машинист Н. И. Максимовых и кочегар А. И. Костров.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бронеплощадке, которой командовал лейтенант Н. И. Куприн, повредило орудийную башню, а бронепаровоз требовал основательного ремонта — впоследствии в нем насчитали 38 пробоин.</w:t>
      </w:r>
    </w:p>
    <w:p w:rsidR="00322A25" w:rsidRDefault="00DA4BA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Команду вместе с бронепоездом было решено отправить в тыл, в Ярославль,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разъезде Подобино прямо в лоб эшелону вынырнул одиночный самолет и начал расстреливать и бомбить бронепоезд. В результате бомбардировки бронепаровоз передней парой колес сбросило с рельсов, бандаж первой оси лопнул, раскололись цилиндры, с котла взрывн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волной сорвало броню.</w:t>
      </w:r>
    </w:p>
    <w:p w:rsidR="00322A25" w:rsidRDefault="00DA4BAE">
      <w:pPr>
        <w:pStyle w:val="StGen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прибытию 30-й ОДБП в Ярославль на ремонт было проведено обследование бронепоезда № 1 «Молотовский рабочий». Специалисты Главного Авто-Бронетанкового Управления Красной Армии признали его восстановление нецелесообразным. 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1942 г. в Пермском паровозном депо под руководством начальника цеха С.И. Пегушина были собраны два новых бронепоезда, имевшие в период постройки наименования «Александр Невский» (с 5 декабря 1942 — № 683), и «Александр Суворов» (с 5 декабря 1942 г. — № 707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При этом сроки строительства бронепоездов могли быть сокращены вдвое, поскольку имелось оборудование, оснастка и главное, бесценный опыт рабочих. 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Бронепоезда вошли в состав 26-го ОДБП. Боевое крещение дивизион принял 12 марта 1943 г. на ст. Валуйки. 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евые действия не нанесли ущерба бронепоездам, но был поврежден железнодорожный путь. Силами личного состава бронепоезда путь был восстановлен и бронепоезд прошел опасный участок. 2 апреля 1943 г. 26-й ОДБП должен был отправился на Дальний Восток.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успешное выполнение заданий по строительству бронепоездов начальник цеха №1 С.И. Пегушин, комиссар строительства П.В. Еремеев награждены орденами Трудового Красного Знамени, газосварщик Владимир Михайлович Косарев – орденом Знак Почета (за предложение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пробивать сталь клепками, а делать отверстие автогеном), слесарь Н.И. Мисюрин – медалью За трудовое отличие.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Зимой 1941 - 1942 гг. </w:t>
      </w:r>
      <w:r>
        <w:rPr>
          <w:rFonts w:ascii="Times New Roman" w:hAnsi="Times New Roman"/>
          <w:sz w:val="28"/>
          <w:szCs w:val="28"/>
        </w:rPr>
        <w:t xml:space="preserve">на паровозоремонтном заводе им. А. А. Шпагина были построены бронепоезда № 1 «Котовский» и № 2 «Щорс» типа ОБ-3. Они вошли </w:t>
      </w:r>
      <w:r>
        <w:rPr>
          <w:rFonts w:ascii="Times New Roman" w:hAnsi="Times New Roman"/>
          <w:sz w:val="28"/>
          <w:szCs w:val="28"/>
        </w:rPr>
        <w:t xml:space="preserve">в состав 44-го отдельного дивизиона бронепоездов ОДБП с 16 апреля 1942 г.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Вскоре к ним присоединился третий - «Чусовской рабочий». У это бронепоезда было важное преимущество: корпус его защищала прочнейшая легированная сталь, выплавленная на Чусовском мета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ллургическом заводе. Поскольку этот бронепоезд был выполнен более качественно, им решили заменить бронепоезд «Щорс».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Бывший «Щорс» получил просто № 19 и</w:t>
      </w:r>
      <w:r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  <w:t xml:space="preserve"> августе 1942 года он был разбит в бою с немецкими танками на Кавказе под Моздоком.</w:t>
      </w:r>
    </w:p>
    <w:p w:rsidR="00322A25" w:rsidRDefault="00DA4BA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  <w:t>Боевой путь 44 отдел</w:t>
      </w:r>
      <w:r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  <w:t>ьного дивизиона бронепоездов ОДБП закончился в Клайпеде. В декабре 1945 г. дивизион перебросили в Москву, где он был расформирован.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42F33"/>
          <w:spacing w:val="2"/>
          <w:sz w:val="28"/>
          <w:szCs w:val="28"/>
          <w:lang w:eastAsia="ru-RU"/>
        </w:rPr>
        <w:t xml:space="preserve">Свой вклад в строительство бронепоездов внесла и дорога им. Л. 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овича: в локомотивных депо Свердловска, Нижнего Тагила, Надеждинска. Ими были построены бронепоезда, соответственно: «Свердловский железнодорожник», «Сталинский Урал» и «А. К. Серов». (Анато́лий Константи́нович Серо́в — советский военный деятель, комбриг.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Один из самых популярных советских военных лётчиков 1930-х годов. Признанный мастер высшего пилотажа и организатор собственной пилотажной группы). В строительстве «Свердловского железнодорожника» принимали участие работники четырёх предприятий Свердловског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узла: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паровозного депо Свердловск-Пассажирская;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вагонного участка Свердловск-Сортировочная;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электродепо Свердловск-Сортировочная;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Свердловской дистанции связи.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бронеплощадки (№ 895, 898) были построены в вагонном депо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станции Смычка.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 лучших стахановцев узла были созданы бригады строителей. Над созданием бронепоезда работали инженеры, техники, слесари, котельщики. Они находились на казарменном положении, ни днём, ни ночью не покидая депо.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Руководили всеми работами коммунисты Перека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льский и Цикунов.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сутками не уходили с производства.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Бригадирами на строительстве бронепаровоза были молодые инженеры комсомольцы Ваксман и Вальхонский. Они недавно окончили Харьковский институт. Их не учили строить бронепоезда но, когда этого потребо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 военное время, они смело взялись за дело. В руках у них были только схематические чертежи, дававшие лишь общее представление о бронепоезде.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характеристики «Свердловского железнодорожника» повторяли характеристики «имитационных» бронепоездо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в: бронепаровоз серии Ов с № 5910, броня не калёная, 30 мм, будка машиниста – 40 мм, командирская будка – 45 мм.  4 бронеплощадки № 895, 896, 897, 898 – броня не калёная, борта и башни 15+15 мм. Башни были вооружены 75-мм французской пушкой образца 1897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двумя пулемётами Браунинг (трофейное оружие) и тремя пулеметами ДТ, бронеплощадка ПВО завода «Стальмост» с двумя пулемётами ДШК.</w:t>
      </w:r>
    </w:p>
    <w:p w:rsidR="00322A25" w:rsidRDefault="00322A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СЛАЙД 44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«Сталинский Урал» строился в депо на станции Нижний Тагил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состоял из бронепаровоза Оп № 7595 и четырех бронепл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ощадок типа ОБ-3 (броня не калёная, вооружение каждой – 75-мм французская пушка образца 1897 года, 2 пулемёта Браунинг (трофейное оружие) и 3 ДТ.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феврале 1942 года на Привокзальной площади Свердловска прошёл митинг, посвящённый передаче дивизиону матчаст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бронепоездов «Свердловский железнодорожник» и «Сталинский Урал». Оба бронепоезда вошли в состав 37-го отдельного дивизиона бронепоездов.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выдающуюся инициативу и трудовую доблесть, проявленную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строительстве бронепоездов, являющихся грозным оружием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борьбе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немецкими захватчиками Нарком Каганович Л.М. и начальник Политуправления НКПС Белоусов наградили знаком «Почётному железнодорожнику»: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Аксёнова Николая Васильевича – мастера промывочного цеха паровозного депо;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Беспалова Николая Васильевича –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аршего электромеханика дистанции связи;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Вшивкова Петра Алексеевича – мастера механического цеха вагонного участка;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Николая Васильевича – электросварщика депо;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Можаева Павла Ивановича – бригадира-инструментальщика вагонного участка;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Пузырёва Алексея Михайловича – котельщика вагонного участка;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Смоленцева Виктора Петровича – слесаря вагонного депо;</w:t>
      </w:r>
    </w:p>
    <w:p w:rsidR="00322A25" w:rsidRDefault="00DA4BA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Чундерова Николая Андреевича – инженера паровозного депо.  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три дня 37-й ОДБП убыл в Москву, где пробыл на доформировании два месяца.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это время бронепоезд «Свердловский железнодорожник» передали в состав 16-го отдельного дивизиона бронепоездов ОДБП в качестве БЕПО № 2.</w:t>
      </w:r>
    </w:p>
    <w:p w:rsidR="00322A25" w:rsidRDefault="00DA4BA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мае 1942 г. 16-й отдельного дивизиона бронепоездов ОДБП отправился в распоряжение командования Северо-Кавказского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оенного округа, где получил задачу – прикрыть участки Староминская, Александровка, Ейск от атак с воздуха.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августа 1942 г. бронепоезд № 2 получил приказ отойти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Староминской на Каневскую. Далее, взаимодействуя с частями 30-й стрелковой дивизии на учас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тке: Краснодар – Тихорецкая, Краснодар – Тимошевская, Краснодар – Усть-Лабинская, бронепоезд защищал город Краснодар.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Противник, наступая на Краснодар, двигался в большом удалении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полотна железной дороги, что не давало возможности бронепоезду вести 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иллерийский огонь по противнику. Исходя из этого, бронепоезду была поставлена новая задача: выдвинуться на станцию Краснодар II и не допустить противника на северо-восточную окраину города Краснодара. Действия бронепоезда три раза срывали попытки противник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переправиться через реку Кубань.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с 8 по 16 августа 1942 г. в районе переправы у реки Кубань уничтожено до батальона пехоты, 1 минометная батарея, 2 пулемёта, 3 танка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1 самолёт «Ю-88».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бронепоезд отошёл на Новороссийск. Во взаимо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 с частями 216-й стрелковой дивизии и 103 отдельной стрелковой бригады на участке Афипская – Северская – Гайдук огнём бронепоезда с открытых и закрытых бронеплощадок уничтожено до 800 солдат и офицеров.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августа 1942 г. «Свердловский железнодорож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ник» вошел в состав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47-й армии, с которой отходил до станции Северская, оказывая поддержку стрелковым частям. В тот же день при налете немецкой авиации оказалась разбита одна бронеплощадка.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сентября 1942 г. в 19.00 противник большой группой автоматчиков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занял станцию Новороссийск и танковыми частями занял северную окраину города.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этому времени бронепоезд, занимавший огневую позицию в тупике железнодорожных путей у цементного завода, оказался в затруднительном положении, имея всего 85 снарядов и возможн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 вести огонь на дальность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1,5 км. Было получено 150 снарядов полковых пушек, но попытки стрельбы ими из 75-мм французских орудий не увенчались успехом.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20.00 немцы открыли по бронепоезду сильный артиллерийский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минометный огонь, в результате 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был выведен из строя бронепаровоз. Командир дивизиона капитан Чечельницкий приказал снять пригодное вооружение, а состав взорвать, что и было сделано.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Команду бепо № 2 использовали для укомплектования одного из отдельных бронепоездов, действовавших в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ставе 56-й армии,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личный состав управления 16-го дивизиона и бепо № 1 вывели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переформирования в район Красной Поляны. </w:t>
      </w:r>
    </w:p>
    <w:p w:rsidR="00322A25" w:rsidRDefault="00DA4B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вокзале станции Тимашевская Северо-Кавказской железной дороги установлена мемориальная доска, на которой упоминается, в том 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сле, бронепоезд «Свердловский железнодорожник».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марте 1942 г. труженики г. Надеждинск (ныне Серов) совместными усилиями рабочих металлургического комбината, паровозного и вагонного депо построили  бронепоезд «А.К. Серов», названный в честь Героя Советско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Союза, летчика Анатолия Константиновича Серова (бывшего рабочего надеждинского металлургического завода).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Железнодорожники занимались оборудованием паровоза и вагонов, металлургический завод обеспечивал броней. 25 марта 1942 г. машинист паровозного депо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Иванович Халтурин на одетом в броню паровозе серии Ов вывел из ворот депо бронепоезд на ст. Надеждинск, где состоялся большой городской митинг. 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Бронепоезд был направлен из Серова в Пермь и далее на фронт. Дальнейшая судьба этого бронепоезда пока неизвестна.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1942 г. ст. Ишим входила в состав Омской железной дороги. В паровозном депо Ишим осенью 1942 г. был построен бронепоезд «Патриот». Как и мно</w:t>
      </w:r>
      <w:r>
        <w:rPr>
          <w:rFonts w:ascii="Times New Roman" w:hAnsi="Times New Roman"/>
          <w:sz w:val="28"/>
          <w:szCs w:val="28"/>
        </w:rPr>
        <w:t>гие бронепоезда того времени, «Патриот» создавался по проектно-</w:t>
      </w:r>
      <w:r>
        <w:rPr>
          <w:rFonts w:ascii="Times New Roman" w:hAnsi="Times New Roman"/>
          <w:sz w:val="28"/>
          <w:szCs w:val="28"/>
        </w:rPr>
        <w:lastRenderedPageBreak/>
        <w:t>сметной документации, созданной инженерами депо. Для основы подобрали легкий паровоз, модернизировали узлы, одели в броню. В его составе был бронепаровоз, две крытые и две открытые бронеплощадк</w:t>
      </w:r>
      <w:r>
        <w:rPr>
          <w:rFonts w:ascii="Times New Roman" w:hAnsi="Times New Roman"/>
          <w:sz w:val="28"/>
          <w:szCs w:val="28"/>
        </w:rPr>
        <w:t xml:space="preserve">и, четыре двухосные контрольные платформы с двумя пушками, четырьмя станковыми пулеметами и полуавтоматическими зенитками. Был предусмотрен аварийный комплект материалов, приспособлений, запасные части. С бронепоездом из Ишима прибыла паровозная бригада. 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Бронепоезд «Патриот» вошел в состав 58-го дивизиона, ему был присвоен № 742.  Боевое крещение бронепоезд получил на Курской дуге, в составе 60-й армии Воронежского фронта (позднее 1-го Украинского фронта).</w:t>
      </w:r>
    </w:p>
    <w:p w:rsidR="00322A25" w:rsidRDefault="00DA4B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июне 1944 г. бронепоезд «Патриот» в ходе перевоо</w:t>
      </w:r>
      <w:r>
        <w:rPr>
          <w:rFonts w:ascii="Times New Roman" w:hAnsi="Times New Roman"/>
          <w:sz w:val="28"/>
          <w:szCs w:val="28"/>
        </w:rPr>
        <w:t>ружения был списан, команда в полном составе переведена на другой бронепоезд «Омский мопровец» (№ 608).</w:t>
      </w:r>
    </w:p>
    <w:p w:rsidR="00322A25" w:rsidRDefault="00322A25">
      <w:pPr>
        <w:rPr>
          <w:rFonts w:ascii="Times New Roman" w:hAnsi="Times New Roman"/>
          <w:sz w:val="28"/>
          <w:szCs w:val="28"/>
        </w:rPr>
      </w:pP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Всего на дороге было 11 бронепоездов</w:t>
      </w:r>
    </w:p>
    <w:p w:rsidR="00322A25" w:rsidRDefault="00DA4BA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Пермская ж.д. - 6 бронепоездов: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Щорс (Пермь, завод Шпагина)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Котовский (Пермь, завод Шпагина)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Молотовский рабочий (Пермь)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 Невский (Пермь)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 Суворов (Пермь)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Чусовской рабочий (Чусовой)</w:t>
      </w:r>
    </w:p>
    <w:p w:rsidR="00322A25" w:rsidRDefault="00DA4BA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Дорога имени Когановича - 5 бронепоездов: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Свердловский железнодорожник (Свердловск) 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Сталинский урал (Нижний Тагил) 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К. Серов (г. Серов)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Нижнетаг</w:t>
      </w:r>
      <w:r>
        <w:rPr>
          <w:rFonts w:ascii="Times New Roman" w:hAnsi="Times New Roman"/>
          <w:sz w:val="28"/>
          <w:szCs w:val="28"/>
        </w:rPr>
        <w:t>ильский рабочий (г. Нижний Тагил)</w:t>
      </w:r>
    </w:p>
    <w:p w:rsidR="00322A25" w:rsidRDefault="00DA4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Патриот (г. Ишим) –в г. Москва имеется одноименный парк «Патрио́т» — военно-патриотический парк культуры и отдыха Вооружённых Сил Российской Федерации. </w:t>
      </w:r>
    </w:p>
    <w:p w:rsidR="00322A25" w:rsidRDefault="00322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2A2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BAE" w:rsidRDefault="00DA4BAE">
      <w:pPr>
        <w:spacing w:after="0" w:line="240" w:lineRule="auto"/>
      </w:pPr>
      <w:r>
        <w:separator/>
      </w:r>
    </w:p>
  </w:endnote>
  <w:endnote w:type="continuationSeparator" w:id="0">
    <w:p w:rsidR="00DA4BAE" w:rsidRDefault="00DA4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BAE" w:rsidRDefault="00DA4BAE">
      <w:pPr>
        <w:spacing w:after="0" w:line="240" w:lineRule="auto"/>
      </w:pPr>
      <w:r>
        <w:separator/>
      </w:r>
    </w:p>
  </w:footnote>
  <w:footnote w:type="continuationSeparator" w:id="0">
    <w:p w:rsidR="00DA4BAE" w:rsidRDefault="00DA4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25"/>
    <w:rsid w:val="0018460E"/>
    <w:rsid w:val="00322A25"/>
    <w:rsid w:val="00DA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03B"/>
  <w15:docId w15:val="{CA4C46FC-80D2-4261-A116-A98102E5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character" w:customStyle="1" w:styleId="pagebreaktextspan">
    <w:name w:val="pagebreaktextspan"/>
    <w:basedOn w:val="a0"/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qFormat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Body Text"/>
    <w:basedOn w:val="a"/>
    <w:link w:val="afb"/>
    <w:uiPriority w:val="1"/>
    <w:qFormat/>
    <w:pPr>
      <w:widowControl w:val="0"/>
      <w:spacing w:after="0" w:line="240" w:lineRule="auto"/>
    </w:pPr>
    <w:rPr>
      <w:rFonts w:ascii="Trebuchet MS" w:eastAsia="Trebuchet MS" w:hAnsi="Trebuchet MS" w:cs="Trebuchet MS"/>
      <w:sz w:val="17"/>
      <w:szCs w:val="17"/>
    </w:rPr>
  </w:style>
  <w:style w:type="character" w:customStyle="1" w:styleId="afb">
    <w:name w:val="Основной текст Знак"/>
    <w:basedOn w:val="a0"/>
    <w:link w:val="afa"/>
    <w:uiPriority w:val="1"/>
    <w:rPr>
      <w:rFonts w:ascii="Trebuchet MS" w:eastAsia="Trebuchet MS" w:hAnsi="Trebuchet MS" w:cs="Trebuchet MS"/>
      <w:sz w:val="17"/>
      <w:szCs w:val="17"/>
    </w:rPr>
  </w:style>
  <w:style w:type="paragraph" w:customStyle="1" w:styleId="StGen0">
    <w:name w:val="StGen0"/>
    <w:basedOn w:val="a"/>
    <w:next w:val="afc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4152</Words>
  <Characters>23668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svdzd</cp:lastModifiedBy>
  <cp:revision>2</cp:revision>
  <dcterms:created xsi:type="dcterms:W3CDTF">2025-11-19T09:06:00Z</dcterms:created>
  <dcterms:modified xsi:type="dcterms:W3CDTF">2025-11-19T09:06:00Z</dcterms:modified>
</cp:coreProperties>
</file>