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62DC5" w14:textId="710C9CBB" w:rsidR="000326C9" w:rsidRPr="00D64D47" w:rsidRDefault="00D64D47" w:rsidP="00D64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64D47">
        <w:rPr>
          <w:rFonts w:ascii="Times New Roman" w:hAnsi="Times New Roman" w:cs="Times New Roman"/>
          <w:sz w:val="28"/>
          <w:szCs w:val="28"/>
        </w:rPr>
        <w:t>Дефицитарный</w:t>
      </w:r>
      <w:proofErr w:type="spellEnd"/>
      <w:r w:rsidRPr="00D64D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D47">
        <w:rPr>
          <w:rFonts w:ascii="Times New Roman" w:hAnsi="Times New Roman" w:cs="Times New Roman"/>
          <w:sz w:val="28"/>
          <w:szCs w:val="28"/>
        </w:rPr>
        <w:t>д</w:t>
      </w:r>
      <w:r w:rsidR="006D3B36">
        <w:rPr>
          <w:rFonts w:ascii="Times New Roman" w:hAnsi="Times New Roman" w:cs="Times New Roman"/>
          <w:sz w:val="28"/>
          <w:szCs w:val="28"/>
        </w:rPr>
        <w:t>и</w:t>
      </w:r>
      <w:r w:rsidRPr="00D64D47">
        <w:rPr>
          <w:rFonts w:ascii="Times New Roman" w:hAnsi="Times New Roman" w:cs="Times New Roman"/>
          <w:sz w:val="28"/>
          <w:szCs w:val="28"/>
        </w:rPr>
        <w:t>зонтогенез</w:t>
      </w:r>
      <w:proofErr w:type="spellEnd"/>
      <w:r w:rsidRPr="00D64D4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64D47">
        <w:rPr>
          <w:rFonts w:ascii="Times New Roman" w:hAnsi="Times New Roman" w:cs="Times New Roman"/>
          <w:sz w:val="28"/>
          <w:szCs w:val="28"/>
        </w:rPr>
        <w:t>дефицитарность</w:t>
      </w:r>
      <w:proofErr w:type="spellEnd"/>
      <w:r w:rsidRPr="00D64D47">
        <w:rPr>
          <w:rFonts w:ascii="Times New Roman" w:hAnsi="Times New Roman" w:cs="Times New Roman"/>
          <w:sz w:val="28"/>
          <w:szCs w:val="28"/>
        </w:rPr>
        <w:t xml:space="preserve"> зрительного анализатора</w:t>
      </w:r>
    </w:p>
    <w:p w14:paraId="29E01609" w14:textId="77777777" w:rsidR="00D64D47" w:rsidRPr="00D64D47" w:rsidRDefault="00D64D47" w:rsidP="00D64D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F02740" w14:textId="607CA5BC" w:rsidR="00D64D47" w:rsidRPr="00D64D47" w:rsidRDefault="00D64D47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64D47">
        <w:rPr>
          <w:rFonts w:ascii="Times New Roman" w:hAnsi="Times New Roman" w:cs="Times New Roman"/>
          <w:sz w:val="28"/>
          <w:szCs w:val="28"/>
        </w:rPr>
        <w:t xml:space="preserve">Дефицитарное психическое развитие – это </w:t>
      </w:r>
      <w:r w:rsidR="002E3193">
        <w:rPr>
          <w:rFonts w:ascii="Times New Roman" w:hAnsi="Times New Roman" w:cs="Times New Roman"/>
          <w:sz w:val="28"/>
          <w:szCs w:val="28"/>
        </w:rPr>
        <w:t xml:space="preserve">развитие которое </w:t>
      </w:r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связанн</w:t>
      </w:r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 </w:t>
      </w:r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 первичной недостаточностью о</w:t>
      </w:r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дельных систем: зрения, слуха, речи, опорно-двигательной, а также рядом инвалидизирующих соматических заболеваний (сердечно-сосудистой системы, например при тяжёлых </w:t>
      </w:r>
      <w:hyperlink r:id="rId5" w:tooltip="Пороки сердца" w:history="1">
        <w:r w:rsidRPr="00D64D47">
          <w:rPr>
            <w:rFonts w:ascii="Times New Roman" w:eastAsia="Times New Roman" w:hAnsi="Times New Roman" w:cs="Times New Roman"/>
            <w:color w:val="222222"/>
            <w:sz w:val="28"/>
            <w:szCs w:val="28"/>
            <w:lang w:eastAsia="ru-RU"/>
          </w:rPr>
          <w:t>пороках сердца</w:t>
        </w:r>
      </w:hyperlink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дых</w:t>
      </w:r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тельной – при </w:t>
      </w:r>
      <w:hyperlink r:id="rId6" w:tooltip="Бронхиальная астма" w:history="1">
        <w:r w:rsidRPr="00D64D47">
          <w:rPr>
            <w:rFonts w:ascii="Times New Roman" w:eastAsia="Times New Roman" w:hAnsi="Times New Roman" w:cs="Times New Roman"/>
            <w:color w:val="222222"/>
            <w:sz w:val="28"/>
            <w:szCs w:val="28"/>
            <w:lang w:eastAsia="ru-RU"/>
          </w:rPr>
          <w:t>бронхиальной астме</w:t>
        </w:r>
      </w:hyperlink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ряде </w:t>
      </w:r>
      <w:hyperlink r:id="rId7" w:tooltip="Эндокринные заболевания" w:history="1">
        <w:r w:rsidRPr="00D64D47">
          <w:rPr>
            <w:rFonts w:ascii="Times New Roman" w:eastAsia="Times New Roman" w:hAnsi="Times New Roman" w:cs="Times New Roman"/>
            <w:color w:val="222222"/>
            <w:sz w:val="28"/>
            <w:szCs w:val="28"/>
            <w:lang w:eastAsia="ru-RU"/>
          </w:rPr>
          <w:t>эндокринных заболеваний</w:t>
        </w:r>
      </w:hyperlink>
      <w:r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т.д.).</w:t>
      </w:r>
    </w:p>
    <w:p w14:paraId="1EC9CEB6" w14:textId="191717BD" w:rsidR="002E3193" w:rsidRDefault="0094155E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D64D47"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ефицитарность</w:t>
      </w:r>
      <w:proofErr w:type="spellEnd"/>
      <w:r w:rsidR="00D64D47"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зрительного анализатора 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–</w:t>
      </w:r>
      <w:r w:rsidR="00D64D47" w:rsidRPr="00D64D4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есть нарушение зрения, к которому относятся:</w:t>
      </w:r>
    </w:p>
    <w:p w14:paraId="4F343B09" w14:textId="0D5DBBBD" w:rsidR="002E3193" w:rsidRDefault="00CE2BA0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1) 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слепые дети с остротой зрения от 0 (0%) до 0,04 (4%) на лучше видящем глазу с коррекцией очками;</w:t>
      </w:r>
    </w:p>
    <w:p w14:paraId="7B1B494D" w14:textId="77777777" w:rsidR="0094155E" w:rsidRDefault="00CE2BA0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2) 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слабовидящие дети с остротой зрения различной степени выраженности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145378B2" w14:textId="25F6760B" w:rsidR="00CE2BA0" w:rsidRDefault="00CE2BA0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=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тяжёлая степень слабовидения (абсолютная острота зрения от 0,05 до 0,09 (5% до 9%))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14:paraId="223AEEAB" w14:textId="0E9B5FD6" w:rsidR="00CE2BA0" w:rsidRDefault="00CE2BA0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=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средн</w:t>
      </w:r>
      <w:r w:rsidR="0094155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яя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степень 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слабовидения (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абсолютная острота зрения от 0,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до 0,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10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% до 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20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%))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14:paraId="0D225E0C" w14:textId="77777777" w:rsidR="00CE2BA0" w:rsidRDefault="00CE2BA0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=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лёгкая степень слабовидения 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(абсолютная острота зрения от 0,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до 0,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30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% до 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40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%))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14:paraId="00F64D59" w14:textId="08D989E2" w:rsidR="00D64D47" w:rsidRDefault="00CE2BA0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=</w:t>
      </w:r>
      <w:r w:rsidR="002E31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пониженное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зрение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(абсолютная острота зрения от 0,5 до 0,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% до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80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%))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обусловленное 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функциональными нарушениями, при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которых зрение характеризуется как пограничное между слабовидением и нормой.</w:t>
      </w:r>
    </w:p>
    <w:p w14:paraId="444A259C" w14:textId="0D12D8CA" w:rsidR="00EB2C41" w:rsidRDefault="0094155E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ак правило 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снижение остроты зрения отягощается различными нарушениями других зрительных функций (</w:t>
      </w:r>
      <w:r w:rsidR="000A57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врождённая катаракта, сужение 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</w:t>
      </w:r>
      <w:r w:rsidR="000A57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ей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зрения, </w:t>
      </w:r>
      <w:r w:rsidR="000A57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нарушение 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глазодвигательны</w:t>
      </w:r>
      <w:r w:rsidR="000A57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функци</w:t>
      </w:r>
      <w:r w:rsidR="000A57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й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др.)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связи с чем нарушается зрительное восприятие, снижается зрительная работоспособность, осложняется зрительно-моторная координация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что напрямую затрудняет </w:t>
      </w:r>
      <w:r w:rsidR="000A57A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развитие и обучение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детей</w:t>
      </w:r>
      <w:r w:rsidR="00EB2C4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14:paraId="4C9EEB29" w14:textId="180B0AA4" w:rsidR="0019325E" w:rsidRDefault="0019325E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Поэтому рассмотрение детей с различной степенью нарушений </w:t>
      </w:r>
      <w:r w:rsidR="009708F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зрительного анализатора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ПМПК является жизненной необходимостью для их успешно</w:t>
      </w:r>
      <w:r w:rsidR="00321D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й жизнедеятельности</w:t>
      </w:r>
      <w:r w:rsidR="005C542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</w:p>
    <w:p w14:paraId="181064D0" w14:textId="3BD11F8A" w:rsidR="0094155E" w:rsidRDefault="009708F5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ход</w:t>
      </w:r>
      <w:r w:rsidR="00C8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диагностического обследования специалисты ПМПК определяют оптимальный маршрут обучения </w:t>
      </w:r>
      <w:r w:rsidR="00C8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ребёнка,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исходя из имеющихся</w:t>
      </w:r>
      <w:r w:rsidR="00C8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анамнезе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клинико-патофизиологических характеристик нарушения зрения</w:t>
      </w:r>
      <w:r w:rsidR="00C8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на основании чего </w:t>
      </w:r>
      <w:r w:rsidR="007D5A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</w:t>
      </w:r>
      <w:r w:rsidR="0094155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заключении</w:t>
      </w:r>
      <w:r w:rsidR="0094155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указываются</w:t>
      </w:r>
      <w:r w:rsidR="0094155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  <w:r w:rsidR="0094155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192B4A20" w14:textId="158B2DB0" w:rsidR="0094155E" w:rsidRDefault="0094155E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условия реализации образовательной программы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321D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 возможностью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применени</w:t>
      </w:r>
      <w:r w:rsidR="00321D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электронного обучения и дистанционных образовательных технологий;</w:t>
      </w:r>
    </w:p>
    <w:p w14:paraId="6F06710E" w14:textId="48D960FB" w:rsidR="0094155E" w:rsidRDefault="0094155E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специальные метода обучения</w:t>
      </w:r>
      <w:r w:rsidR="00321D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 программе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14:paraId="42B7C110" w14:textId="692D5D8E" w:rsidR="009708F5" w:rsidRDefault="0094155E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специальные учебники, отвечаю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щие зрительным возможностям и особым образовательным потребностям;</w:t>
      </w:r>
    </w:p>
    <w:p w14:paraId="02B20416" w14:textId="687D9171" w:rsidR="0094155E" w:rsidRDefault="0094155E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-специальные учебные пособия, в частности индивидуальные дидактические материалы и наглядные пособия, выполненные с учётом индивидуальных зрительных возможностей;</w:t>
      </w:r>
    </w:p>
    <w:p w14:paraId="4FECAB23" w14:textId="04174388" w:rsidR="0094155E" w:rsidRDefault="0094155E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-специальные технические средства </w:t>
      </w:r>
      <w:r w:rsidR="007D5A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обучения</w:t>
      </w:r>
      <w:r w:rsidR="00321D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 необходимости</w:t>
      </w:r>
      <w:r w:rsidR="007D5A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такие как персональный компьютер, оснащённый необходимым программным обеспечением, интерактивная доска;</w:t>
      </w:r>
    </w:p>
    <w:p w14:paraId="7241247D" w14:textId="7FA33928" w:rsidR="007D5AA6" w:rsidRDefault="007D5AA6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-тьюторское сопровождение реализации </w:t>
      </w:r>
      <w:r w:rsidR="003E3E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программы, подбор и адаптация педагогических средств, индивидуализация образовательного процесса.</w:t>
      </w:r>
    </w:p>
    <w:p w14:paraId="56FEBAB2" w14:textId="77777777" w:rsidR="00321D7C" w:rsidRDefault="007D5AA6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Прописываются </w:t>
      </w:r>
      <w:r w:rsidR="00321D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также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направления коррекционной работы таких специалистов как </w:t>
      </w:r>
      <w:r w:rsidR="003E3E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учитель-дефектолог (тифлопедагог)</w:t>
      </w:r>
      <w:r w:rsidR="003E3E7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педагог-психолог, учитель-логопед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дальнейшей коррекции в специализированных учреждения дошкольного, начального и основного общего образования. </w:t>
      </w:r>
    </w:p>
    <w:p w14:paraId="3BB53ECF" w14:textId="34D8D15B" w:rsidR="003021EC" w:rsidRDefault="00321D7C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C8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одителям </w:t>
      </w:r>
      <w:r w:rsidR="00FA072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рекомендуют выполнение на постоянной основе упражнений по системе У.Г.  Бейтса и М.Д. Корбетт</w:t>
      </w:r>
      <w:r w:rsidR="003021E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позволяющие поддерживать в тонусе зрительную систему.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Данный к</w:t>
      </w:r>
      <w:r w:rsidR="003021E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омплекс упражнений начинается и заканчиваться </w:t>
      </w:r>
      <w:proofErr w:type="spellStart"/>
      <w:r w:rsidR="003021E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пальмингом</w:t>
      </w:r>
      <w:proofErr w:type="spellEnd"/>
      <w:r w:rsidR="003021E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который позволяет расслабить зрительный анализатор; далее идут упражнения на поддержание глазодвигательных мышц – «Верх-вниз», «Вправо-влево», «Диагонали», «Циферблат», «Песочные часы», «Спираль»</w:t>
      </w:r>
      <w:r w:rsidR="008A099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др.</w:t>
      </w:r>
    </w:p>
    <w:p w14:paraId="6692F128" w14:textId="0F973B62" w:rsidR="008A099A" w:rsidRDefault="008A099A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Только комплексный подход позволяет помочь детям с нарушени</w:t>
      </w:r>
      <w:r w:rsidR="0086633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зрения </w:t>
      </w:r>
      <w:r w:rsidR="0086633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преодолеть затруднения в </w:t>
      </w:r>
      <w:r w:rsidR="00284A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развитии сенсорно-перцептивной деятельности, </w:t>
      </w:r>
      <w:r w:rsidR="00721A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пространственных представлений</w:t>
      </w:r>
      <w:r w:rsidR="0086633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координации движений, их точности</w:t>
      </w:r>
      <w:r w:rsidR="00284A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 а также развитии мотивационной</w:t>
      </w:r>
      <w:r w:rsidR="00721A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</w:t>
      </w:r>
      <w:r w:rsidR="00721A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эмоционально-волевой</w:t>
      </w:r>
      <w:r w:rsidR="00284A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сфер, произвольной регуляции </w:t>
      </w:r>
      <w:r w:rsidR="00721A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 </w:t>
      </w:r>
      <w:r w:rsidR="00284A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самостоятельн</w:t>
      </w:r>
      <w:r w:rsidR="00721A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ости</w:t>
      </w:r>
      <w:r w:rsidR="00284A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14:paraId="77A0B0A8" w14:textId="77777777" w:rsidR="00D64D47" w:rsidRPr="00D64D47" w:rsidRDefault="00D64D47" w:rsidP="00D64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42041E7F" w14:textId="6AA6143D" w:rsidR="00D64D47" w:rsidRPr="00D64D47" w:rsidRDefault="00D64D47" w:rsidP="00D64D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64D47" w:rsidRPr="00D64D47" w:rsidSect="005D27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6631A"/>
    <w:multiLevelType w:val="multilevel"/>
    <w:tmpl w:val="6D36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958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6C9"/>
    <w:rsid w:val="00004630"/>
    <w:rsid w:val="000326C9"/>
    <w:rsid w:val="000A57A7"/>
    <w:rsid w:val="0019325E"/>
    <w:rsid w:val="001E1823"/>
    <w:rsid w:val="00284A24"/>
    <w:rsid w:val="002E3193"/>
    <w:rsid w:val="003021EC"/>
    <w:rsid w:val="00321D7C"/>
    <w:rsid w:val="003E3E7C"/>
    <w:rsid w:val="005C5421"/>
    <w:rsid w:val="005D272D"/>
    <w:rsid w:val="006D3B36"/>
    <w:rsid w:val="00721A1A"/>
    <w:rsid w:val="007D5AA6"/>
    <w:rsid w:val="00866331"/>
    <w:rsid w:val="008A099A"/>
    <w:rsid w:val="0094155E"/>
    <w:rsid w:val="009708F5"/>
    <w:rsid w:val="00C87BBD"/>
    <w:rsid w:val="00CE2BA0"/>
    <w:rsid w:val="00D64D47"/>
    <w:rsid w:val="00EB2C41"/>
    <w:rsid w:val="00FA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C385E"/>
  <w15:chartTrackingRefBased/>
  <w15:docId w15:val="{129A1200-03EE-4879-A5B9-F3D4AAC7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2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6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6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26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6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6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6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6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26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26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26C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26C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26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26C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26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26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2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2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2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2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2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26C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26C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26C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26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26C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26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D%D0%BD%D0%B4%D0%BE%D0%BA%D1%80%D0%B8%D0%BD%D0%BD%D1%8B%D0%B5_%D0%B7%D0%B0%D0%B1%D0%BE%D0%BB%D0%B5%D0%B2%D0%B0%D0%BD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1%80%D0%BE%D0%BD%D1%85%D0%B8%D0%B0%D0%BB%D1%8C%D0%BD%D0%B0%D1%8F_%D0%B0%D1%81%D1%82%D0%BC%D0%B0" TargetMode="External"/><Relationship Id="rId5" Type="http://schemas.openxmlformats.org/officeDocument/2006/relationships/hyperlink" Target="https://ru.wikipedia.org/wiki/%D0%9F%D0%BE%D1%80%D0%BE%D0%BA%D0%B8_%D1%81%D0%B5%D1%80%D0%B4%D1%86%D0%B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2025-09-18T09:33:00Z</cp:lastPrinted>
  <dcterms:created xsi:type="dcterms:W3CDTF">2025-09-18T07:54:00Z</dcterms:created>
  <dcterms:modified xsi:type="dcterms:W3CDTF">2025-09-18T10:49:00Z</dcterms:modified>
</cp:coreProperties>
</file>