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DC" w:rsidRDefault="005442DC" w:rsidP="005442DC">
      <w:pPr>
        <w:spacing w:after="0" w:line="360" w:lineRule="auto"/>
        <w:ind w:left="0" w:right="0" w:firstLine="709"/>
        <w:jc w:val="right"/>
        <w:rPr>
          <w:b/>
          <w:color w:val="auto"/>
          <w:lang w:val="ru-RU"/>
        </w:rPr>
      </w:pPr>
      <w:proofErr w:type="spellStart"/>
      <w:r>
        <w:rPr>
          <w:b/>
          <w:color w:val="auto"/>
          <w:lang w:val="ru-RU"/>
        </w:rPr>
        <w:t>Гаджимагомедова</w:t>
      </w:r>
      <w:proofErr w:type="spellEnd"/>
      <w:r>
        <w:rPr>
          <w:b/>
          <w:color w:val="auto"/>
          <w:lang w:val="ru-RU"/>
        </w:rPr>
        <w:t xml:space="preserve"> М.Ф.</w:t>
      </w:r>
    </w:p>
    <w:p w:rsidR="005442DC" w:rsidRDefault="005442DC" w:rsidP="005442DC">
      <w:pPr>
        <w:spacing w:after="0" w:line="360" w:lineRule="auto"/>
        <w:ind w:left="0" w:right="0" w:firstLine="709"/>
        <w:jc w:val="right"/>
        <w:rPr>
          <w:b/>
          <w:color w:val="auto"/>
          <w:lang w:val="ru-RU"/>
        </w:rPr>
      </w:pPr>
      <w:r>
        <w:rPr>
          <w:b/>
          <w:color w:val="auto"/>
          <w:lang w:val="ru-RU"/>
        </w:rPr>
        <w:t xml:space="preserve">Маг </w:t>
      </w:r>
      <w:r w:rsidR="0091343D">
        <w:rPr>
          <w:b/>
          <w:color w:val="auto"/>
          <w:lang w:val="ru-RU"/>
        </w:rPr>
        <w:t>2 год клин псих</w:t>
      </w:r>
      <w:proofErr w:type="gramStart"/>
      <w:r w:rsidR="00D41F89">
        <w:rPr>
          <w:b/>
          <w:color w:val="auto"/>
          <w:lang w:val="ru-RU"/>
        </w:rPr>
        <w:t>.</w:t>
      </w:r>
      <w:proofErr w:type="gramEnd"/>
      <w:r w:rsidR="00D41F89">
        <w:rPr>
          <w:b/>
          <w:color w:val="auto"/>
          <w:lang w:val="ru-RU"/>
        </w:rPr>
        <w:t xml:space="preserve"> </w:t>
      </w:r>
      <w:proofErr w:type="gramStart"/>
      <w:r w:rsidR="00D41F89">
        <w:rPr>
          <w:b/>
          <w:color w:val="auto"/>
          <w:lang w:val="ru-RU"/>
        </w:rPr>
        <w:t>в</w:t>
      </w:r>
      <w:proofErr w:type="gramEnd"/>
      <w:r w:rsidR="00D41F89">
        <w:rPr>
          <w:b/>
          <w:color w:val="auto"/>
          <w:lang w:val="ru-RU"/>
        </w:rPr>
        <w:t xml:space="preserve"> спец. </w:t>
      </w:r>
      <w:proofErr w:type="spellStart"/>
      <w:r w:rsidR="00D41F89">
        <w:rPr>
          <w:b/>
          <w:color w:val="auto"/>
          <w:lang w:val="ru-RU"/>
        </w:rPr>
        <w:t>обр</w:t>
      </w:r>
      <w:proofErr w:type="spellEnd"/>
      <w:r w:rsidR="00D41F89">
        <w:rPr>
          <w:b/>
          <w:color w:val="auto"/>
          <w:lang w:val="ru-RU"/>
        </w:rPr>
        <w:t>-и</w:t>
      </w:r>
    </w:p>
    <w:p w:rsidR="005442DC" w:rsidRDefault="005442DC" w:rsidP="005442DC">
      <w:pPr>
        <w:spacing w:after="0" w:line="360" w:lineRule="auto"/>
        <w:ind w:left="0" w:right="0" w:firstLine="709"/>
        <w:jc w:val="right"/>
        <w:rPr>
          <w:b/>
          <w:color w:val="auto"/>
          <w:lang w:val="ru-RU"/>
        </w:rPr>
      </w:pPr>
    </w:p>
    <w:p w:rsidR="005442DC" w:rsidRPr="001D7511" w:rsidRDefault="005442DC" w:rsidP="005442DC">
      <w:pPr>
        <w:spacing w:after="0" w:line="360" w:lineRule="auto"/>
        <w:ind w:left="0" w:right="0" w:firstLine="709"/>
        <w:jc w:val="center"/>
        <w:rPr>
          <w:b/>
          <w:color w:val="auto"/>
          <w:lang w:val="ru-RU"/>
        </w:rPr>
      </w:pPr>
      <w:r w:rsidRPr="001D7511">
        <w:rPr>
          <w:b/>
          <w:color w:val="auto"/>
          <w:lang w:val="ru-RU"/>
        </w:rPr>
        <w:t xml:space="preserve">Нарушение зрения как форма </w:t>
      </w:r>
      <w:proofErr w:type="spellStart"/>
      <w:r w:rsidRPr="001D7511">
        <w:rPr>
          <w:b/>
          <w:color w:val="auto"/>
          <w:lang w:val="ru-RU"/>
        </w:rPr>
        <w:t>дизонтогенеза</w:t>
      </w:r>
      <w:proofErr w:type="spellEnd"/>
    </w:p>
    <w:p w:rsidR="005442DC" w:rsidRPr="001D7511" w:rsidRDefault="005442DC" w:rsidP="005442DC">
      <w:pPr>
        <w:tabs>
          <w:tab w:val="left" w:pos="1134"/>
        </w:tabs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>С каждым годом увеличивается количество детей, страдающих нарушениями зрения, включая тех, кто родился с проблемами и тех, кто потерял зрение в раннем детстве. Офтальмологи отмечают, что среди младших школьников от 10 до 35 процентов имеют проблемы со зрением. Эта тенденция обусловлена комплексом факторов, таких как неблагоприятная экологическая обстановка, социальные и экономические трудности, а также осложнения, возникшие в период беременности и после рождения [</w:t>
      </w:r>
      <w:r w:rsidR="00D41F89">
        <w:rPr>
          <w:color w:val="auto"/>
          <w:lang w:val="ru-RU"/>
        </w:rPr>
        <w:t>3</w:t>
      </w:r>
      <w:r w:rsidRPr="001D7511">
        <w:rPr>
          <w:color w:val="auto"/>
          <w:lang w:val="ru-RU"/>
        </w:rPr>
        <w:t xml:space="preserve">].  </w:t>
      </w:r>
    </w:p>
    <w:p w:rsidR="005442DC" w:rsidRPr="001D7511" w:rsidRDefault="005442DC" w:rsidP="005442DC">
      <w:pPr>
        <w:tabs>
          <w:tab w:val="left" w:pos="1134"/>
        </w:tabs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 xml:space="preserve">В современной научной литературе выделяются три категории детей с нарушениями зрения: </w:t>
      </w:r>
    </w:p>
    <w:p w:rsidR="005442DC" w:rsidRPr="001D7511" w:rsidRDefault="005442DC" w:rsidP="005442D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 xml:space="preserve">дети с косоглазием и </w:t>
      </w:r>
      <w:proofErr w:type="spellStart"/>
      <w:r w:rsidRPr="001D7511">
        <w:rPr>
          <w:color w:val="auto"/>
          <w:lang w:val="ru-RU"/>
        </w:rPr>
        <w:t>амблиопией</w:t>
      </w:r>
      <w:proofErr w:type="spellEnd"/>
      <w:r w:rsidRPr="001D7511">
        <w:rPr>
          <w:color w:val="auto"/>
          <w:lang w:val="ru-RU"/>
        </w:rPr>
        <w:t xml:space="preserve">; </w:t>
      </w:r>
    </w:p>
    <w:p w:rsidR="005442DC" w:rsidRPr="001D7511" w:rsidRDefault="005442DC" w:rsidP="005442D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right="0" w:firstLine="709"/>
        <w:rPr>
          <w:color w:val="auto"/>
          <w:lang w:val="ru-RU"/>
        </w:rPr>
      </w:pPr>
      <w:proofErr w:type="gramStart"/>
      <w:r w:rsidRPr="001D7511">
        <w:rPr>
          <w:color w:val="auto"/>
          <w:lang w:val="ru-RU"/>
        </w:rPr>
        <w:t xml:space="preserve">незрячие/слепые дети (острота зрения на лучшем видящем глазу от </w:t>
      </w:r>
      <w:proofErr w:type="gramEnd"/>
    </w:p>
    <w:p w:rsidR="005442DC" w:rsidRPr="001D7511" w:rsidRDefault="005442DC" w:rsidP="005442DC">
      <w:pPr>
        <w:tabs>
          <w:tab w:val="left" w:pos="1134"/>
        </w:tabs>
        <w:spacing w:after="0" w:line="360" w:lineRule="auto"/>
        <w:ind w:left="0" w:right="0" w:firstLine="709"/>
        <w:rPr>
          <w:color w:val="auto"/>
        </w:rPr>
      </w:pPr>
      <w:r w:rsidRPr="001D7511">
        <w:rPr>
          <w:color w:val="auto"/>
        </w:rPr>
        <w:t>0</w:t>
      </w:r>
      <w:proofErr w:type="gramStart"/>
      <w:r w:rsidRPr="001D7511">
        <w:rPr>
          <w:color w:val="auto"/>
        </w:rPr>
        <w:t>,01</w:t>
      </w:r>
      <w:proofErr w:type="gramEnd"/>
      <w:r w:rsidRPr="001D7511">
        <w:rPr>
          <w:color w:val="auto"/>
        </w:rPr>
        <w:t xml:space="preserve"> </w:t>
      </w:r>
      <w:proofErr w:type="spellStart"/>
      <w:r w:rsidRPr="001D7511">
        <w:rPr>
          <w:color w:val="auto"/>
        </w:rPr>
        <w:t>до</w:t>
      </w:r>
      <w:proofErr w:type="spellEnd"/>
      <w:r w:rsidRPr="001D7511">
        <w:rPr>
          <w:color w:val="auto"/>
        </w:rPr>
        <w:t xml:space="preserve"> 0,04); </w:t>
      </w:r>
    </w:p>
    <w:p w:rsidR="005442DC" w:rsidRPr="001D7511" w:rsidRDefault="005442DC" w:rsidP="005442D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 xml:space="preserve">слабовидящие дети (острота зрения на лучшем видящем глазу при коррекции от 0,05 до 0,2). </w:t>
      </w:r>
    </w:p>
    <w:p w:rsidR="005442DC" w:rsidRPr="001D7511" w:rsidRDefault="005442DC" w:rsidP="005442DC">
      <w:pPr>
        <w:tabs>
          <w:tab w:val="left" w:pos="1134"/>
          <w:tab w:val="center" w:pos="3324"/>
        </w:tabs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ab/>
        <w:t xml:space="preserve">Причины нарушения зрения могут быть: </w:t>
      </w:r>
    </w:p>
    <w:p w:rsidR="005442DC" w:rsidRPr="001D7511" w:rsidRDefault="005442DC" w:rsidP="005442D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 xml:space="preserve">врожденные (нарушение происходит во внутриутробный период развития); </w:t>
      </w:r>
    </w:p>
    <w:p w:rsidR="005442DC" w:rsidRPr="001D7511" w:rsidRDefault="005442DC" w:rsidP="005442D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 xml:space="preserve">приобретенные (нарушение возникает после рождения при воздействии неблагоприятных факторов); </w:t>
      </w:r>
    </w:p>
    <w:p w:rsidR="005442DC" w:rsidRPr="001D7511" w:rsidRDefault="005442DC" w:rsidP="005442DC">
      <w:pPr>
        <w:numPr>
          <w:ilvl w:val="0"/>
          <w:numId w:val="1"/>
        </w:numPr>
        <w:spacing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 xml:space="preserve">наследственные (нарушение происходит, если в семье есть люди с нарушениями зрения). </w:t>
      </w:r>
      <w:r w:rsidR="00D41F89" w:rsidRPr="00D41F89">
        <w:rPr>
          <w:color w:val="auto"/>
          <w:lang w:val="ru-RU"/>
        </w:rPr>
        <w:t>[</w:t>
      </w:r>
      <w:r w:rsidR="00D41F89">
        <w:rPr>
          <w:color w:val="auto"/>
          <w:lang w:val="ru-RU"/>
        </w:rPr>
        <w:t>2</w:t>
      </w:r>
      <w:r w:rsidR="00D41F89" w:rsidRPr="00D41F89">
        <w:rPr>
          <w:color w:val="auto"/>
          <w:lang w:val="ru-RU"/>
        </w:rPr>
        <w:t xml:space="preserve">]. 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 xml:space="preserve">В медицинской и педагогической литературе представлено следующее описание различным видам нарушений зрения: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i/>
          <w:color w:val="auto"/>
          <w:lang w:val="ru-RU"/>
        </w:rPr>
        <w:t>Миопия</w:t>
      </w:r>
      <w:r w:rsidRPr="001D7511">
        <w:rPr>
          <w:color w:val="auto"/>
          <w:lang w:val="ru-RU"/>
        </w:rPr>
        <w:t xml:space="preserve"> (близорукость) – серьезное нарушение рефракции глаза, приводящее к смешению главного фокуса в промежуток между сетчаткой и </w:t>
      </w:r>
      <w:r w:rsidRPr="001D7511">
        <w:rPr>
          <w:color w:val="auto"/>
          <w:lang w:val="ru-RU"/>
        </w:rPr>
        <w:lastRenderedPageBreak/>
        <w:t>глазом. Близорукость может влиять на поведение и успеваемость ребенка. Из-за ухудшения зрения он может стать невнимательным, сутулиться при рассматривании предметов, жаловаться на головные боли и усталость глаз. Для коррекции близорукости используют очки со специальными линзами. Степень близорукости может быть различной</w:t>
      </w:r>
      <w:proofErr w:type="gramStart"/>
      <w:r w:rsidRPr="001D7511">
        <w:rPr>
          <w:color w:val="auto"/>
          <w:lang w:val="ru-RU"/>
        </w:rPr>
        <w:t>.</w:t>
      </w:r>
      <w:proofErr w:type="gramEnd"/>
      <w:r w:rsidRPr="001D7511">
        <w:rPr>
          <w:color w:val="auto"/>
          <w:lang w:val="ru-RU"/>
        </w:rPr>
        <w:t xml:space="preserve"> </w:t>
      </w:r>
      <w:proofErr w:type="gramStart"/>
      <w:r w:rsidRPr="001D7511">
        <w:rPr>
          <w:color w:val="auto"/>
          <w:lang w:val="ru-RU"/>
        </w:rPr>
        <w:t>с</w:t>
      </w:r>
      <w:proofErr w:type="gramEnd"/>
      <w:r w:rsidRPr="001D7511">
        <w:rPr>
          <w:color w:val="auto"/>
          <w:lang w:val="ru-RU"/>
        </w:rPr>
        <w:t xml:space="preserve">лабой (до 3, 0 </w:t>
      </w:r>
      <w:proofErr w:type="spellStart"/>
      <w:r w:rsidRPr="001D7511">
        <w:rPr>
          <w:color w:val="auto"/>
          <w:lang w:val="ru-RU"/>
        </w:rPr>
        <w:t>дптр</w:t>
      </w:r>
      <w:proofErr w:type="spellEnd"/>
      <w:r w:rsidRPr="001D7511">
        <w:rPr>
          <w:color w:val="auto"/>
          <w:lang w:val="ru-RU"/>
        </w:rPr>
        <w:t xml:space="preserve">), средней (3,0-6,0 </w:t>
      </w:r>
      <w:proofErr w:type="spellStart"/>
      <w:r w:rsidRPr="001D7511">
        <w:rPr>
          <w:color w:val="auto"/>
          <w:lang w:val="ru-RU"/>
        </w:rPr>
        <w:t>дптр</w:t>
      </w:r>
      <w:proofErr w:type="spellEnd"/>
      <w:r w:rsidRPr="001D7511">
        <w:rPr>
          <w:color w:val="auto"/>
          <w:lang w:val="ru-RU"/>
        </w:rPr>
        <w:t xml:space="preserve">), сильной (6 и более </w:t>
      </w:r>
      <w:proofErr w:type="spellStart"/>
      <w:r w:rsidRPr="001D7511">
        <w:rPr>
          <w:color w:val="auto"/>
          <w:lang w:val="ru-RU"/>
        </w:rPr>
        <w:t>дптр</w:t>
      </w:r>
      <w:proofErr w:type="spellEnd"/>
      <w:r w:rsidRPr="001D7511">
        <w:rPr>
          <w:color w:val="auto"/>
          <w:lang w:val="ru-RU"/>
        </w:rPr>
        <w:t xml:space="preserve">). Скорость снижения остроты зрения также может быть различной при миопии: стабильной (до 0,5 </w:t>
      </w:r>
      <w:proofErr w:type="spellStart"/>
      <w:r w:rsidRPr="001D7511">
        <w:rPr>
          <w:color w:val="auto"/>
          <w:lang w:val="ru-RU"/>
        </w:rPr>
        <w:t>дптр</w:t>
      </w:r>
      <w:proofErr w:type="spellEnd"/>
      <w:r w:rsidRPr="001D7511">
        <w:rPr>
          <w:color w:val="auto"/>
          <w:lang w:val="ru-RU"/>
        </w:rPr>
        <w:t xml:space="preserve"> в год), медленно прогрессирующей (0,5-1,0 </w:t>
      </w:r>
      <w:proofErr w:type="spellStart"/>
      <w:r w:rsidRPr="001D7511">
        <w:rPr>
          <w:color w:val="auto"/>
          <w:lang w:val="ru-RU"/>
        </w:rPr>
        <w:t>дптр</w:t>
      </w:r>
      <w:proofErr w:type="spellEnd"/>
      <w:r w:rsidRPr="001D7511">
        <w:rPr>
          <w:color w:val="auto"/>
          <w:lang w:val="ru-RU"/>
        </w:rPr>
        <w:t xml:space="preserve"> в год), быстро прогрессирующей (более 1,0 </w:t>
      </w:r>
      <w:proofErr w:type="spellStart"/>
      <w:r w:rsidRPr="001D7511">
        <w:rPr>
          <w:color w:val="auto"/>
          <w:lang w:val="ru-RU"/>
        </w:rPr>
        <w:t>дптр</w:t>
      </w:r>
      <w:proofErr w:type="spellEnd"/>
      <w:r w:rsidRPr="001D7511">
        <w:rPr>
          <w:color w:val="auto"/>
          <w:lang w:val="ru-RU"/>
        </w:rPr>
        <w:t xml:space="preserve"> в год). </w:t>
      </w:r>
      <w:r w:rsidR="00D41F89" w:rsidRPr="00D41F89">
        <w:rPr>
          <w:color w:val="auto"/>
          <w:lang w:val="ru-RU"/>
        </w:rPr>
        <w:t>[</w:t>
      </w:r>
      <w:r w:rsidR="00D41F89">
        <w:rPr>
          <w:color w:val="auto"/>
          <w:lang w:val="ru-RU"/>
        </w:rPr>
        <w:t>5</w:t>
      </w:r>
      <w:r w:rsidR="00D41F89" w:rsidRPr="00D41F89">
        <w:rPr>
          <w:color w:val="auto"/>
          <w:lang w:val="ru-RU"/>
        </w:rPr>
        <w:t xml:space="preserve">]. 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i/>
          <w:color w:val="auto"/>
          <w:lang w:val="ru-RU"/>
        </w:rPr>
        <w:t>Гиперметропия</w:t>
      </w:r>
      <w:r w:rsidRPr="001D7511">
        <w:rPr>
          <w:color w:val="auto"/>
          <w:lang w:val="ru-RU"/>
        </w:rPr>
        <w:t xml:space="preserve"> (дальнозоркость) – нарушение зрения, вызванное аномалиями рефракции. При дальнозоркости изображение фокусируется не на сетчатке, а за ней, потому что глаз недостаточно сильно преломляет свет. Многие дети рождаются с дальнозоркостью, но обычно она проходит по мере роста глаза. Для коррекции дальнозоркости используют очки с выпуклыми линзами, которые помогают сфокусировать свет на сетчатке.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i/>
          <w:color w:val="auto"/>
          <w:lang w:val="ru-RU"/>
        </w:rPr>
        <w:t xml:space="preserve">Астигматизм – </w:t>
      </w:r>
      <w:r w:rsidRPr="001D7511">
        <w:rPr>
          <w:color w:val="auto"/>
          <w:lang w:val="ru-RU"/>
        </w:rPr>
        <w:t>это нарушение зрения, вызванное тем, что роговица (или реже хрусталик) имеет неправильную форму, из-за чего свет преломляется неравномерно. Для исправления этой проблемы используют специальные очки или контактные линзы, которые имеют асферическую или цилиндрическую форму. Эти линзы компенсируют неправильную</w:t>
      </w:r>
      <w:r w:rsidRPr="001D7511">
        <w:rPr>
          <w:i/>
          <w:color w:val="auto"/>
          <w:lang w:val="ru-RU"/>
        </w:rPr>
        <w:t xml:space="preserve"> форму роговицы и позволяют свету фокусироваться правильно на сетчатке. </w:t>
      </w:r>
      <w:r w:rsidRPr="001D7511">
        <w:rPr>
          <w:color w:val="auto"/>
          <w:lang w:val="ru-RU"/>
        </w:rPr>
        <w:t xml:space="preserve">[42].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proofErr w:type="spellStart"/>
      <w:r w:rsidRPr="001D7511">
        <w:rPr>
          <w:i/>
          <w:color w:val="auto"/>
          <w:lang w:val="ru-RU"/>
        </w:rPr>
        <w:t>Амблиопия</w:t>
      </w:r>
      <w:proofErr w:type="spellEnd"/>
      <w:r w:rsidRPr="001D7511">
        <w:rPr>
          <w:color w:val="auto"/>
          <w:lang w:val="ru-RU"/>
        </w:rPr>
        <w:t xml:space="preserve"> – понижение зрения, обусловленное функциональными расстройствами зрительного анализатора. При данном заболевании люди не могу нормально разглядеть предмет, взор не фиксируется, меняется восприятие форм и предметов. </w:t>
      </w:r>
      <w:proofErr w:type="spellStart"/>
      <w:r w:rsidRPr="001D7511">
        <w:rPr>
          <w:color w:val="auto"/>
          <w:lang w:val="ru-RU"/>
        </w:rPr>
        <w:t>Амблиопия</w:t>
      </w:r>
      <w:proofErr w:type="spellEnd"/>
      <w:r w:rsidRPr="001D7511">
        <w:rPr>
          <w:color w:val="auto"/>
          <w:lang w:val="ru-RU"/>
        </w:rPr>
        <w:t xml:space="preserve"> может проявляться в разной степени и форме [</w:t>
      </w:r>
      <w:r w:rsidR="00D41F89">
        <w:rPr>
          <w:color w:val="auto"/>
          <w:lang w:val="ru-RU"/>
        </w:rPr>
        <w:t>4</w:t>
      </w:r>
      <w:r w:rsidRPr="001D7511">
        <w:rPr>
          <w:color w:val="auto"/>
          <w:lang w:val="ru-RU"/>
        </w:rPr>
        <w:t xml:space="preserve">].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proofErr w:type="spellStart"/>
      <w:r w:rsidRPr="001D7511">
        <w:rPr>
          <w:i/>
          <w:color w:val="auto"/>
          <w:lang w:val="ru-RU"/>
        </w:rPr>
        <w:t>Анизометропия</w:t>
      </w:r>
      <w:proofErr w:type="spellEnd"/>
      <w:r w:rsidRPr="001D7511">
        <w:rPr>
          <w:color w:val="auto"/>
          <w:lang w:val="ru-RU"/>
        </w:rPr>
        <w:t xml:space="preserve"> – неодинаковое отклонение лучей при прохождении границ обоих глаз, в результате чего изображение становится искаженным и величина не совпадает на обоих глазах. Возникает препятствие слияния изображений из двух глаз в единую картинку [3].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i/>
          <w:color w:val="auto"/>
          <w:lang w:val="ru-RU"/>
        </w:rPr>
        <w:lastRenderedPageBreak/>
        <w:t>Альбинизм</w:t>
      </w:r>
      <w:r w:rsidRPr="001D7511">
        <w:rPr>
          <w:color w:val="auto"/>
          <w:lang w:val="ru-RU"/>
        </w:rPr>
        <w:t xml:space="preserve"> проявляется в отсутствии пигмента в глазах, волосах и коже. Это часто приводит к проблемам со зрением у детей, вплоть до слабовидения. Причинами слабовидения при альбинизме могут быть атрофия сетчатки и зрительного нерва, а также нистагм и другие нарушения зрения. [1].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i/>
          <w:color w:val="auto"/>
          <w:lang w:val="ru-RU"/>
        </w:rPr>
        <w:t xml:space="preserve">Косоглазие – </w:t>
      </w:r>
      <w:r w:rsidRPr="001D7511">
        <w:rPr>
          <w:color w:val="auto"/>
          <w:lang w:val="ru-RU"/>
        </w:rPr>
        <w:t xml:space="preserve">это состояние, при котором глаза смотрят в разные стороны. Это не просто косметический дефект, а серьезное нарушение зрительной функции. У детей с косоглазием страдает бинокулярное зрение, что означает, что они не могут видеть мир объемно и полноценно. Вся зрительная нагрузка перекладывается на один глаз, что приводит к ограничению возможностей восприятия, замедлению анализа пространства и искажению пространственных представлений.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i/>
          <w:color w:val="auto"/>
          <w:lang w:val="ru-RU"/>
        </w:rPr>
        <w:t>Нистагм</w:t>
      </w:r>
      <w:r w:rsidRPr="001D7511">
        <w:rPr>
          <w:color w:val="auto"/>
          <w:lang w:val="ru-RU"/>
        </w:rPr>
        <w:t xml:space="preserve"> – заболевание глаз, приводящее к самопроизвольным колебательным движениям глазных яблок (дрожание глаз), даже при достаточно высокой остроте зрения имеет место нечеткость восприятия. Нистагм может быть вызван нормальными физиологическими процессами или патологическими состояниями. Физиологический нистагм возникает в ответ на быстрое движение объектов перед глазами. Патологический нистагм часто является следствием нарушений зрения, особенно у детей.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proofErr w:type="gramStart"/>
      <w:r w:rsidRPr="001D7511">
        <w:rPr>
          <w:color w:val="auto"/>
          <w:lang w:val="ru-RU"/>
        </w:rPr>
        <w:t>Нарушения зрения негативно влияют на развитие ребенка, затрудняя ориентацию в пространстве, замедляя развитие двигательных навыков и координации, а также снижая активность в познавательной и физической сферах.</w:t>
      </w:r>
      <w:proofErr w:type="gramEnd"/>
      <w:r w:rsidRPr="001D7511">
        <w:rPr>
          <w:color w:val="auto"/>
          <w:lang w:val="ru-RU"/>
        </w:rPr>
        <w:t xml:space="preserve"> У некоторых младших школьников с патологиями зрения наблюдается отставание в физиологическом развитии [5].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 xml:space="preserve">У детей младшего школьного возраста с нарушениями зрения процесс визуального восприятия существенно отличается от восприятия их нормально видящих сверстников. Эти различия проявляются в объеме, точности и скорости обработки зрительной информации. Из-за особенностей зрения такие дети склонны сосредотачиваться на деталях, не являющихся определяющими для идентификации объекта.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lastRenderedPageBreak/>
        <w:t xml:space="preserve">Обучающиеся с глубокими нарушениями зрения не могут в полном объеме понимать артикуляцию собеседника, из-за чего они зачастую допускают ошибки при звуковом анализе фразы и его произношении. </w:t>
      </w:r>
    </w:p>
    <w:p w:rsidR="005442DC" w:rsidRPr="001D7511" w:rsidRDefault="005442DC" w:rsidP="005442DC">
      <w:pPr>
        <w:spacing w:after="0" w:line="360" w:lineRule="auto"/>
        <w:ind w:left="0" w:right="0" w:firstLine="709"/>
        <w:rPr>
          <w:color w:val="auto"/>
          <w:lang w:val="ru-RU"/>
        </w:rPr>
      </w:pPr>
      <w:r w:rsidRPr="001D7511">
        <w:rPr>
          <w:color w:val="auto"/>
          <w:lang w:val="ru-RU"/>
        </w:rPr>
        <w:t>Нарушение зрения оказывает значительное влияние на развитие ребенка, затрагивая его психику, поведение и познавательные процессы. Ограниченная зрительная информация приводит к снижению двигательной активности, скованности движений и замедлению темпов обучения, а также повышает утомляемость.</w:t>
      </w:r>
    </w:p>
    <w:p w:rsidR="00D41F89" w:rsidRDefault="00D41F89" w:rsidP="00D41F89">
      <w:pPr>
        <w:spacing w:line="360" w:lineRule="auto"/>
        <w:ind w:firstLine="709"/>
        <w:jc w:val="center"/>
        <w:rPr>
          <w:b/>
          <w:bCs/>
          <w:lang w:val="ru-RU"/>
        </w:rPr>
      </w:pPr>
    </w:p>
    <w:p w:rsidR="00D41F89" w:rsidRPr="00667BC6" w:rsidRDefault="00D41F89" w:rsidP="00D41F89">
      <w:pPr>
        <w:spacing w:line="360" w:lineRule="auto"/>
        <w:ind w:firstLine="709"/>
        <w:jc w:val="center"/>
        <w:rPr>
          <w:b/>
          <w:bCs/>
        </w:rPr>
      </w:pPr>
      <w:proofErr w:type="spellStart"/>
      <w:r w:rsidRPr="00667BC6">
        <w:rPr>
          <w:b/>
          <w:bCs/>
        </w:rPr>
        <w:t>Список</w:t>
      </w:r>
      <w:proofErr w:type="spellEnd"/>
      <w:r w:rsidRPr="00667BC6">
        <w:rPr>
          <w:b/>
          <w:bCs/>
        </w:rPr>
        <w:t xml:space="preserve"> </w:t>
      </w:r>
      <w:proofErr w:type="spellStart"/>
      <w:r w:rsidRPr="00667BC6">
        <w:rPr>
          <w:b/>
          <w:bCs/>
        </w:rPr>
        <w:t>литературы</w:t>
      </w:r>
      <w:proofErr w:type="spellEnd"/>
    </w:p>
    <w:p w:rsidR="00D41F89" w:rsidRPr="007E0BDA" w:rsidRDefault="00D41F89" w:rsidP="00D41F89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Абидова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, Н.З. Анализ проблемы развития речи и общения у детей с нарушением зрения / Н.З. </w:t>
      </w: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Абидова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 // Вестник Южно-Уральского государственного университета. – 2014. – Т.6, №3.</w:t>
      </w:r>
    </w:p>
    <w:p w:rsidR="00D41F89" w:rsidRPr="007E0BDA" w:rsidRDefault="00D41F89" w:rsidP="00D41F89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BDA">
        <w:rPr>
          <w:rFonts w:ascii="Times New Roman" w:eastAsia="Calibri" w:hAnsi="Times New Roman" w:cs="Times New Roman"/>
          <w:sz w:val="28"/>
          <w:szCs w:val="28"/>
        </w:rPr>
        <w:t>Белая, Н.А. Исследования особенностей коммуникативно-речевой сферы детей в специальной педагогике / Н.А. Белая // Электронный научный журнал «APRIORI. Серия: Гуманитарные науки». – 2014. – №1.</w:t>
      </w:r>
    </w:p>
    <w:p w:rsidR="00D41F89" w:rsidRPr="007E0BDA" w:rsidRDefault="00D41F89" w:rsidP="00D41F89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Быкова, Е.Б. Формирование коммуникативной деятельности младших школьников с нарушениями зрения: учебно-методическое пособие / </w:t>
      </w: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Е.Б.Быкова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>. – СПб</w:t>
      </w:r>
      <w:proofErr w:type="gramStart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7E0BDA">
        <w:rPr>
          <w:rFonts w:ascii="Times New Roman" w:eastAsia="Calibri" w:hAnsi="Times New Roman" w:cs="Times New Roman"/>
          <w:sz w:val="28"/>
          <w:szCs w:val="28"/>
        </w:rPr>
        <w:t>ЛЕМА, 2018.</w:t>
      </w:r>
    </w:p>
    <w:p w:rsidR="00D41F89" w:rsidRPr="007E0BDA" w:rsidRDefault="00D41F89" w:rsidP="00D41F89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Зальцман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, Л.М. Формирование коммуникативной компетентности незрячих детей средствами невербального общения / Л.М. </w:t>
      </w: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Зальцман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 // Проблемы этического и эстетического воспитания детей с нарушением зрения: сб. статей. – М., 2004.</w:t>
      </w:r>
    </w:p>
    <w:p w:rsidR="00D41F89" w:rsidRPr="007E0BDA" w:rsidRDefault="00D41F89" w:rsidP="00D41F89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BDA">
        <w:rPr>
          <w:rFonts w:ascii="Times New Roman" w:eastAsia="Calibri" w:hAnsi="Times New Roman" w:cs="Times New Roman"/>
          <w:sz w:val="28"/>
          <w:szCs w:val="28"/>
        </w:rPr>
        <w:t>Зорина, С.С. Формирование коммуникативных умений у детей с нарушениями зрения / С.С. Зорина // Специальное образование. – 2010. – №4.</w:t>
      </w:r>
    </w:p>
    <w:p w:rsidR="00D41F89" w:rsidRPr="00E952AE" w:rsidRDefault="00D41F89" w:rsidP="00E952A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</w:pPr>
      <w:r w:rsidRPr="007E0BDA">
        <w:rPr>
          <w:rFonts w:ascii="Times New Roman" w:eastAsia="Calibri" w:hAnsi="Times New Roman" w:cs="Times New Roman"/>
          <w:sz w:val="28"/>
          <w:szCs w:val="28"/>
        </w:rPr>
        <w:t>Мжельская, Н.В. Некоторые особенности и результаты коррекционной работы с младшими школьниками с нарушением зрения по развитию коммуникативной компетентности / Н.В. Мжельская // Дефектология. – 2016. – №6.</w:t>
      </w:r>
      <w:bookmarkStart w:id="0" w:name="_GoBack"/>
      <w:bookmarkEnd w:id="0"/>
    </w:p>
    <w:sectPr w:rsidR="00D41F89" w:rsidRPr="00E952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700" w:rsidRDefault="00EC4700" w:rsidP="00E952AE">
      <w:pPr>
        <w:spacing w:after="0" w:line="240" w:lineRule="auto"/>
      </w:pPr>
      <w:r>
        <w:separator/>
      </w:r>
    </w:p>
  </w:endnote>
  <w:endnote w:type="continuationSeparator" w:id="0">
    <w:p w:rsidR="00EC4700" w:rsidRDefault="00EC4700" w:rsidP="00E95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544201"/>
      <w:docPartObj>
        <w:docPartGallery w:val="Page Numbers (Bottom of Page)"/>
        <w:docPartUnique/>
      </w:docPartObj>
    </w:sdtPr>
    <w:sdtContent>
      <w:p w:rsidR="00E952AE" w:rsidRDefault="00E952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952AE">
          <w:rPr>
            <w:noProof/>
            <w:lang w:val="ru-RU"/>
          </w:rPr>
          <w:t>1</w:t>
        </w:r>
        <w:r>
          <w:fldChar w:fldCharType="end"/>
        </w:r>
      </w:p>
    </w:sdtContent>
  </w:sdt>
  <w:p w:rsidR="00E952AE" w:rsidRDefault="00E952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700" w:rsidRDefault="00EC4700" w:rsidP="00E952AE">
      <w:pPr>
        <w:spacing w:after="0" w:line="240" w:lineRule="auto"/>
      </w:pPr>
      <w:r>
        <w:separator/>
      </w:r>
    </w:p>
  </w:footnote>
  <w:footnote w:type="continuationSeparator" w:id="0">
    <w:p w:rsidR="00EC4700" w:rsidRDefault="00EC4700" w:rsidP="00E95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5067F"/>
    <w:multiLevelType w:val="hybridMultilevel"/>
    <w:tmpl w:val="D0F4DC72"/>
    <w:lvl w:ilvl="0" w:tplc="C520054A">
      <w:start w:val="1"/>
      <w:numFmt w:val="bullet"/>
      <w:lvlText w:val="–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32587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24057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1A89D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46936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EC5FB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E4F90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44824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30D7E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F033901"/>
    <w:multiLevelType w:val="hybridMultilevel"/>
    <w:tmpl w:val="FBA4698E"/>
    <w:lvl w:ilvl="0" w:tplc="C406AB0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5C"/>
    <w:rsid w:val="0025325C"/>
    <w:rsid w:val="005442DC"/>
    <w:rsid w:val="00555DC5"/>
    <w:rsid w:val="0091343D"/>
    <w:rsid w:val="00D41F89"/>
    <w:rsid w:val="00E952AE"/>
    <w:rsid w:val="00EC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DC"/>
    <w:pPr>
      <w:spacing w:after="15" w:line="386" w:lineRule="auto"/>
      <w:ind w:left="10" w:right="52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F89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val="ru-RU"/>
    </w:rPr>
  </w:style>
  <w:style w:type="paragraph" w:styleId="a4">
    <w:name w:val="header"/>
    <w:basedOn w:val="a"/>
    <w:link w:val="a5"/>
    <w:uiPriority w:val="99"/>
    <w:unhideWhenUsed/>
    <w:rsid w:val="00E95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52AE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6">
    <w:name w:val="footer"/>
    <w:basedOn w:val="a"/>
    <w:link w:val="a7"/>
    <w:uiPriority w:val="99"/>
    <w:unhideWhenUsed/>
    <w:rsid w:val="00E95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52AE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DC"/>
    <w:pPr>
      <w:spacing w:after="15" w:line="386" w:lineRule="auto"/>
      <w:ind w:left="10" w:right="52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F89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val="ru-RU"/>
    </w:rPr>
  </w:style>
  <w:style w:type="paragraph" w:styleId="a4">
    <w:name w:val="header"/>
    <w:basedOn w:val="a"/>
    <w:link w:val="a5"/>
    <w:uiPriority w:val="99"/>
    <w:unhideWhenUsed/>
    <w:rsid w:val="00E95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52AE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6">
    <w:name w:val="footer"/>
    <w:basedOn w:val="a"/>
    <w:link w:val="a7"/>
    <w:uiPriority w:val="99"/>
    <w:unhideWhenUsed/>
    <w:rsid w:val="00E95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52AE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1018</Words>
  <Characters>5804</Characters>
  <Application>Microsoft Office Word</Application>
  <DocSecurity>0</DocSecurity>
  <Lines>48</Lines>
  <Paragraphs>13</Paragraphs>
  <ScaleCrop>false</ScaleCrop>
  <Company>Curnos™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фпп</dc:creator>
  <cp:keywords/>
  <dc:description/>
  <cp:lastModifiedBy>фпп</cp:lastModifiedBy>
  <cp:revision>5</cp:revision>
  <dcterms:created xsi:type="dcterms:W3CDTF">2025-05-19T10:43:00Z</dcterms:created>
  <dcterms:modified xsi:type="dcterms:W3CDTF">2025-05-19T11:12:00Z</dcterms:modified>
</cp:coreProperties>
</file>