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5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ПОУРОЧНЫЙ ПЛАН</w:t>
      </w:r>
      <w:bookmarkEnd w:id="0"/>
    </w:p>
    <w:p>
      <w:pPr>
        <w:pStyle w:val="Style5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2" w:name="bookmark2"/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 предмету живопись (1 класс)</w:t>
      </w:r>
      <w:bookmarkEnd w:id="2"/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mc:AlternateContent>
          <mc:Choice Requires="wps">
            <w:drawing>
              <wp:anchor distT="139700" distB="139700" distL="139700" distR="139700" simplePos="0" relativeHeight="125829378" behindDoc="0" locked="0" layoutInCell="1" allowOverlap="1">
                <wp:simplePos x="0" y="0"/>
                <wp:positionH relativeFrom="page">
                  <wp:posOffset>1012825</wp:posOffset>
                </wp:positionH>
                <wp:positionV relativeFrom="paragraph">
                  <wp:posOffset>12700</wp:posOffset>
                </wp:positionV>
                <wp:extent cx="1191895" cy="2261870"/>
                <wp:wrapSquare wrapText="bothSides"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191895" cy="22618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64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Тема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30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Тип урока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30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Вид урока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64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Учебная цель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8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Оборудование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9.75pt;margin-top:1.pt;width:93.850000000000009pt;height:178.09999999999999pt;z-index:-125829375;mso-wrap-distance-left:11.pt;mso-wrap-distance-top:11.pt;mso-wrap-distance-right:11.pt;mso-wrap-distance-bottom:11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64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Тема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30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Тип урока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30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Вид урока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64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Учебная цель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8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Оборудование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Изображение с натуры предметов с передачей их объема (гризайль)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Объяснение нового материала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Рисование с натуры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Передача светотени одним цветом (как средство выражения формы)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Предметы быта и фрукты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40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ХОД УРОКА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38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Организационный момент.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38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Гризайль - это живопись одной краской (от латинского слова «гриз» серый, серые тона)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гризайли работают тоном без отвлечений цветовыми поисками, изображают объемные предметы на плоскости с использованием градаций тонов от черного до белого.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Прежде чем писать красками, решите, какой цвет выбрать основным для гризайли.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Это существенный момент.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Для плотной по тональности контрастной постановки, где присутствуют черный и белый цвет, возьмите черную краску.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Если в натюрморте преобладают более мягкие тона, то можно взять коричневую, зеленую краску с добавлением белил, для того, чтобы удержать целостность.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70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Натюрморт ставится по отношению к источнику света так, чтобы контрастно выделить светотеневые пятна, что поможет лучшему выявлению форм предметов при дальнейшем изображении.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Внимательно рассматриваем предметы, чем они отличаются друг от друга. Определить, что здесь самое светлое, что самое темное. Определить общий тон, его светосилу.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Уточняем, что такое тон, блик, свет, тень, полутень, падающая тень.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58" w:val="left"/>
          <w:tab w:pos="677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Предметы надо хорошо закомпоновать в группу.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58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 предварительной прикидки композиции в листе, прорисовать форму предметов (построение).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Отметить место блика, обозначить границу полутона и тени.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658" w:val="left"/>
        </w:tabs>
        <w:bidi w:val="0"/>
        <w:spacing w:before="0" w:after="0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Рассмотрев внимательно натюрморт и разобравшись в его светотеневой характеристике, необходимо кистью на палитре выполнить раскладку тона от самого светлого до самого темного для данной, конкретной постановки.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Писать форму предметов нужно начинать с теней, постепенно переходя к полутонам и световым частям предмета.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Мазки накладываются по форме предмета, как бы ощупывая кистью его в пространстве.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Почти одновременно с прокладыванием теней на этюде следует широко и смело писать фон, прилегающий к теневой части предметов, а затем фон, прилегающий к освещенной ее части, что определяет пространство за предметами.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Сделаем вывод: чтобы передать пространство, надо по мере удаления предметов в глубину снижать тоновой контраст относительно первого плана. Так же воспринимается и горизонтальная плоскость: та часть, которая ближе к нам - ярче, светлее и постепенно уходя в глубину, становится темнее, сдержаннее, мягче по тону.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Конкретизация деталей и уточнение формы предметов, выявление пространства.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78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После того как весь этюд написан, прописаны все предметы, фон, необходимо заняться обобщением этюда. Для этого нужно: где - то смыть краску, где — то пролессировать другим тоном, где - то положить мазок смело и решительно.</w:t>
      </w:r>
    </w:p>
    <w:sectPr>
      <w:footnotePr>
        <w:pos w:val="pageBottom"/>
        <w:numFmt w:val="decimal"/>
        <w:numRestart w:val="continuous"/>
      </w:footnotePr>
      <w:pgSz w:w="11900" w:h="16840"/>
      <w:pgMar w:top="1042" w:right="738" w:bottom="1079" w:left="1562" w:header="614" w:footer="651" w:gutter="0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upperRoman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6">
    <w:name w:val="Заголовок №1_"/>
    <w:basedOn w:val="DefaultParagraphFont"/>
    <w:link w:val="Styl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auto"/>
      <w:spacing w:line="360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auto"/>
      <w:spacing w:after="360"/>
      <w:jc w:val="center"/>
      <w:outlineLvl w:val="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