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Мотивация студентов творческих специальностей и проблема выгорания в процессе обучения</w:t>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Современное общество все больше осознает важность творческих профессий. Актуальность вопроса мотивации студентов в художественных и креативных специальностях возрастает, особенно в условиях постоянного стресса и эмоциональных затрат, с которыми сталкиваются молодые художники, дизайнеры и другие творческие специалисты. В этом контексте необходимо не только поддерживать мотивацию, но и предотвращать выгорание, которое может негативно сказаться на обучении и последующей карьере студентов.</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Мотивация студентов — это сложный и многогранный процесс, который включает в себя как внутренние, так и внешние факторы. В отличие от традиционных специальностей, где успех измеряется четкими параметрами, в творческих областях мотивация часто зависит от личных переживаний и внутреннего состояния. Студенты могут испытывать страх перед критикой, сомневаться в своих способностях или пытаться соответствовать высоким ожиданиям как со стороны преподавателей, так и со стороны общества. Эти внутренние барьеры могут приводить к снижению мотивации и, как следствие, к проблемам с выгоранием.</w:t>
      </w:r>
    </w:p>
    <w:p w:rsidR="00000000" w:rsidDel="00000000" w:rsidP="00000000" w:rsidRDefault="00000000" w:rsidRPr="00000000" w14:paraId="0000000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Выгорание — это состояние физического, эмоционального и психического истощения, вызванное длительным стрессом и перегрузкой. В творческой среде это явление проявляется в снижении жизненной энергии, апатии, утрате интереса к учебе и творчеству. Исследования показывают, что студенты художественных специальностей подвержены выгоранию чаще, чем их сверстники в других областях. Причины этого могут быть различны: высокая конкуренция, давление со стороны преподавателей и ожидания окружающих.</w:t>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Ключевым аспектом поддержания мотивации является создание безопасной и поддерживающей образовательной среды. Преподаватели должны активно работать над тем, чтобы студенты ощущали себя комфортно, могли открыто выражать свои чувства и делиться переживаниями. Это можно достичь через регулярные индивидуальные беседы, групповые обсуждения и совместные проекты, где студенты могут работать в команде и поддерживать друг друга.</w:t>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Кроме того, внедрение практической деятельности в учебный процесс является важным шагом. Проекты, выставки и конкурсы могут стать отличными источниками вдохновения и мотивации для студентов. Участие в реальных проектах помогает увидеть результаты своего труда, а также получить ценную обратную связь от профессионалов и зрителей. Например, участие в выставках может повысить уверенность студентов в своих способностях и стать стимулом для дальнейшего творческого роста.</w:t>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Развитие навыков управления временем и стрессом также играет важную роль в поддержании мотивации и предотвращении выгорания. Преподаватели могут предложить студентам тренинги по тайм-менеджменту, которые помогут им более эффективно планировать свое время и распределять нагрузки. Одним из первых шагов в этом направлении является обучение студентов методам приоритизации задач. Важно, чтобы они могли выделять наиболее значимые и срочные дела, минимизируя отвлекающие факторы.</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Использование различных методов планирования может значительно повысить продуктивность. Например, создание списков задач и использование календарей помогут студентам организовать свое время. Техника «Помидора» (Pomodoro Technique), которая предполагает работу в интервалах по 25 минут с короткими перерывами, может быть полезной для поддержания концентрации и предотвращения усталости. Такой подход позволяет не только увеличить продуктивность, но и создать здоровый ритм работы.</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Важно также уделить внимание управлению стрессом. Студенты могут использовать различные методы релаксации, такие как медитация, йога или дыхательные упражнения. Эти практики помогают снизить уровень тревожности и повысить общий уровень энергии. Преподаватели могут организовывать специальные занятия, посвященные этим методам, что поможет студентам найти подходящие для себя способы расслабления. Например, занятия по йоге могут стать отличной возможностью для студентов отвлечься от учебных забот и восстановить внутреннее равновесие.</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Другой аспект, который стоит учитывать, — это создание атмосферы, способствующей самовыражению и экспериментам. Студенты должны понимать, что ошибки — это часть процесса обучения. Преподаватели должны поощрять студентов рисковать, пробовать новое и не бояться неудач. Это поможет развить уверенность в своих силах и снизить уровень стресса. Создание культуры, в которой ценится креативность и индивидуальность, может стать мощным мотиватором для студентов.</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Также стоит интегрировать в учебный процесс элементы психологии. Занятия, посвященные осознанию эмоций и управлению ими, могут стать полезным ресурсом для студентов. Преподаватели могут предложить групповые занятия или мастер-классы, где студенты смогут делиться своими переживаниями и находить поддержку. Помощь психолога или коуча может стать дополнительным ресурсом для студентов, испытывающих трудности.</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Кроме того, важно развивать у студентов навыки самоорганизации. Умение планировать свое время и расставлять приоритеты является необходимым для успешного обучения и предотвращения выгорания. Преподаватели могут обучать студентов методам управления временем, таким как «матрица Эйзенхауэра», которая помогает разделять задачи на важные и неважные, срочные и несрочные. Такой подход позволит студентам более эффективно распределять свои усилия.</w:t>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менее важным является обсуждение тематики выгорания и управления стрессом в рамках учебного процесса. Преподаватели могут организовывать открытые лекции и семинары, где студенты смогут изучить эту проблему более глубоко. Обсуждение примеров успешных людей, которые сталкивались с выгоранием, и методов, которые помогли им восстановить мотивацию, может стать источником вдохновения для студентов.</w:t>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заключение, мотивация студентов в творческих специальностях и проблема выгорания требуют внимательного и комплексного подхода как со стороны преподавателей, так и со стороны самих студентов. Создание поддерживающей среды, внедрение практических проектов, развитие навыков управления временем и эмоциями, а также поощрение самовыражения могут значительно повысить уровень мотивации и снизить вероятность выгорания. Важно помнить, что каждый студент уникален, и подход к его мотивации должен быть индивидуальным.</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Ссылки на электронные ресурсы:</w:t>
      </w:r>
    </w:p>
    <w:p w:rsidR="00000000" w:rsidDel="00000000" w:rsidP="00000000" w:rsidRDefault="00000000" w:rsidRPr="00000000" w14:paraId="0000001E">
      <w:pPr>
        <w:rPr/>
      </w:pPr>
      <w:r w:rsidDel="00000000" w:rsidR="00000000" w:rsidRPr="00000000">
        <w:rPr>
          <w:rtl w:val="0"/>
        </w:rPr>
        <w:t xml:space="preserve">1.</w:t>
      </w:r>
      <w:hyperlink r:id="rId6">
        <w:r w:rsidDel="00000000" w:rsidR="00000000" w:rsidRPr="00000000">
          <w:rPr>
            <w:color w:val="1155cc"/>
            <w:u w:val="single"/>
            <w:rtl w:val="0"/>
          </w:rPr>
          <w:t xml:space="preserve"> https://www.psychologytoday.com/us/basics/burnout</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2.</w:t>
      </w:r>
      <w:hyperlink r:id="rId7">
        <w:r w:rsidDel="00000000" w:rsidR="00000000" w:rsidRPr="00000000">
          <w:rPr>
            <w:color w:val="1155cc"/>
            <w:u w:val="single"/>
            <w:rtl w:val="0"/>
          </w:rPr>
          <w:t xml:space="preserve"> https://www.apa.org/monitor/2018/01/ce-corner-burnout</w:t>
        </w:r>
      </w:hyperlink>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3.</w:t>
      </w:r>
      <w:hyperlink r:id="rId8">
        <w:r w:rsidDel="00000000" w:rsidR="00000000" w:rsidRPr="00000000">
          <w:rPr>
            <w:color w:val="1155cc"/>
            <w:u w:val="single"/>
            <w:rtl w:val="0"/>
          </w:rPr>
          <w:t xml:space="preserve"> https://www.ted.com/talks/burnout_and_the_culture_of_overwork</w:t>
        </w:r>
      </w:hyperlink>
      <w:r w:rsidDel="00000000" w:rsidR="00000000" w:rsidRPr="00000000">
        <w:rPr>
          <w:rtl w:val="0"/>
        </w:rPr>
      </w:r>
    </w:p>
    <w:p w:rsidR="00000000" w:rsidDel="00000000" w:rsidP="00000000" w:rsidRDefault="00000000" w:rsidRPr="00000000" w14:paraId="00000021">
      <w:pPr>
        <w:rPr>
          <w:rFonts w:ascii="Roboto" w:cs="Roboto" w:eastAsia="Roboto" w:hAnsi="Roboto"/>
          <w:color w:val="1155cc"/>
          <w:sz w:val="24"/>
          <w:szCs w:val="24"/>
        </w:rPr>
      </w:pPr>
      <w:r w:rsidDel="00000000" w:rsidR="00000000" w:rsidRPr="00000000">
        <w:rPr>
          <w:rtl w:val="0"/>
        </w:rPr>
        <w:t xml:space="preserve">4.</w:t>
      </w:r>
      <w:hyperlink r:id="rId9">
        <w:r w:rsidDel="00000000" w:rsidR="00000000" w:rsidRPr="00000000">
          <w:rPr>
            <w:color w:val="1155cc"/>
            <w:u w:val="single"/>
            <w:rtl w:val="0"/>
          </w:rPr>
          <w:t xml:space="preserve">https://www.huffpost.com/entry/burnout-creative-professionals_n_5de3e56be4b0b5833a43c4e1</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uffpost.com/entry/burnout-creative-professionals_n_5de3e56be4b0b5833a43c4e1" TargetMode="External"/><Relationship Id="rId5" Type="http://schemas.openxmlformats.org/officeDocument/2006/relationships/styles" Target="styles.xml"/><Relationship Id="rId6" Type="http://schemas.openxmlformats.org/officeDocument/2006/relationships/hyperlink" Target="https://www.psychologytoday.com/us/basics/burnout" TargetMode="External"/><Relationship Id="rId7" Type="http://schemas.openxmlformats.org/officeDocument/2006/relationships/hyperlink" Target="https://www.apa.org/monitor/2018/01/ce-corner-burnout" TargetMode="External"/><Relationship Id="rId8" Type="http://schemas.openxmlformats.org/officeDocument/2006/relationships/hyperlink" Target="https://www.ted.com/talks/burnout_and_the_culture_of_overwor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