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BE" w:rsidRDefault="007A1D13" w:rsidP="0051128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Козыренко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Марин</w:t>
      </w:r>
      <w:r w:rsidR="00511285">
        <w:rPr>
          <w:rFonts w:ascii="Times New Roman" w:hAnsi="Times New Roman" w:cs="Times New Roman"/>
          <w:sz w:val="24"/>
          <w:szCs w:val="24"/>
        </w:rPr>
        <w:t xml:space="preserve">а Николаевна, учитель химии, </w:t>
      </w:r>
      <w:r w:rsidR="00511285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511285">
        <w:rPr>
          <w:rFonts w:ascii="Times New Roman" w:hAnsi="Times New Roman" w:cs="Times New Roman"/>
          <w:sz w:val="24"/>
          <w:szCs w:val="24"/>
        </w:rPr>
        <w:t>БОУ «Средняя школа №8 города Шадринска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A1D13" w:rsidRDefault="007A1D13" w:rsidP="00DB47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критического мышлени</w:t>
      </w:r>
      <w:r w:rsidR="00511285">
        <w:rPr>
          <w:rFonts w:ascii="Times New Roman" w:hAnsi="Times New Roman" w:cs="Times New Roman"/>
          <w:sz w:val="24"/>
          <w:szCs w:val="24"/>
        </w:rPr>
        <w:t>я на уроках химии для учащихся 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DB47DC" w:rsidRPr="00DB47DC" w:rsidRDefault="00DB47DC" w:rsidP="00DB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сегодняшний день развитие критического мышления является важным навыком. </w:t>
      </w:r>
      <w:r w:rsidRPr="00DB47DC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критического мышления у учащегося во многом зависит от заданий и упражнений, продуманных учителем при составлении поурочного планирования.</w:t>
      </w:r>
    </w:p>
    <w:p w:rsidR="00DB47DC" w:rsidRPr="00DB47DC" w:rsidRDefault="00DB47DC" w:rsidP="00DB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47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Эффективная форма развивающего обучения школьников – активные методы обучения, а также связанные с ними виды деятельности. Активные методы обучения направлены на решение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различных дидактических задач, </w:t>
      </w:r>
      <w:r w:rsidRPr="00DB47DC">
        <w:rPr>
          <w:rFonts w:ascii="Times New Roman" w:eastAsia="Times New Roman" w:hAnsi="Times New Roman" w:cs="Times New Roman"/>
          <w:sz w:val="24"/>
          <w:szCs w:val="24"/>
          <w:lang w:eastAsia="ar-SA"/>
        </w:rPr>
        <w:t>не теряющих свою сущность - творческую самостоятельность.</w:t>
      </w:r>
    </w:p>
    <w:p w:rsidR="00DB47DC" w:rsidRDefault="00D77B1C" w:rsidP="00DB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Основное внимание уделяется</w:t>
      </w:r>
      <w:r w:rsidR="00DB47DC" w:rsidRPr="00DB47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развивающим заданиям, способствующим развитию памяти, внимания, воображения, наглядно - образного мышления, анализу</w:t>
      </w:r>
      <w:r w:rsidR="00DB47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B47DC" w:rsidRPr="00DB47DC">
        <w:rPr>
          <w:rFonts w:ascii="Times New Roman" w:eastAsia="Times New Roman" w:hAnsi="Times New Roman" w:cs="Times New Roman"/>
          <w:sz w:val="24"/>
          <w:szCs w:val="24"/>
          <w:lang w:eastAsia="ar-SA"/>
        </w:rPr>
        <w:t>[1].</w:t>
      </w:r>
    </w:p>
    <w:p w:rsidR="00E02599" w:rsidRDefault="00E02599" w:rsidP="00E02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599">
        <w:rPr>
          <w:rFonts w:ascii="Times New Roman" w:hAnsi="Times New Roman" w:cs="Times New Roman"/>
          <w:sz w:val="24"/>
          <w:szCs w:val="24"/>
        </w:rPr>
        <w:t>Структура педагогической технологии развития критического мышления посредством чтения и письма стройна и логична, так как ее этапы соответствуют закономерным этапам когнитивной деятельности личности. Важным в данной технологии является следование тр</w:t>
      </w:r>
      <w:r>
        <w:rPr>
          <w:rFonts w:ascii="Times New Roman" w:hAnsi="Times New Roman" w:cs="Times New Roman"/>
          <w:sz w:val="24"/>
          <w:szCs w:val="24"/>
        </w:rPr>
        <w:t xml:space="preserve">ем фазам: </w:t>
      </w:r>
      <w:proofErr w:type="spellStart"/>
      <w:r>
        <w:rPr>
          <w:rFonts w:ascii="Times New Roman" w:hAnsi="Times New Roman" w:cs="Times New Roman"/>
          <w:sz w:val="24"/>
          <w:szCs w:val="24"/>
        </w:rPr>
        <w:t>evocation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(вызов, про</w:t>
      </w:r>
      <w:r w:rsidRPr="00E02599">
        <w:rPr>
          <w:rFonts w:ascii="Times New Roman" w:hAnsi="Times New Roman" w:cs="Times New Roman"/>
          <w:sz w:val="24"/>
          <w:szCs w:val="24"/>
        </w:rPr>
        <w:t xml:space="preserve">буждение), </w:t>
      </w:r>
      <w:proofErr w:type="spellStart"/>
      <w:r w:rsidRPr="00E02599">
        <w:rPr>
          <w:rFonts w:ascii="Times New Roman" w:hAnsi="Times New Roman" w:cs="Times New Roman"/>
          <w:sz w:val="24"/>
          <w:szCs w:val="24"/>
        </w:rPr>
        <w:t>realization</w:t>
      </w:r>
      <w:proofErr w:type="spellEnd"/>
      <w:r w:rsidRPr="00E02599">
        <w:rPr>
          <w:rFonts w:ascii="Times New Roman" w:hAnsi="Times New Roman" w:cs="Times New Roman"/>
          <w:sz w:val="24"/>
          <w:szCs w:val="24"/>
        </w:rPr>
        <w:t xml:space="preserve"> (осмысление новой информации), </w:t>
      </w:r>
      <w:proofErr w:type="spellStart"/>
      <w:r w:rsidRPr="00E02599">
        <w:rPr>
          <w:rFonts w:ascii="Times New Roman" w:hAnsi="Times New Roman" w:cs="Times New Roman"/>
          <w:sz w:val="24"/>
          <w:szCs w:val="24"/>
        </w:rPr>
        <w:t>reflection</w:t>
      </w:r>
      <w:proofErr w:type="spellEnd"/>
      <w:r w:rsidRPr="00E02599">
        <w:rPr>
          <w:rFonts w:ascii="Times New Roman" w:hAnsi="Times New Roman" w:cs="Times New Roman"/>
          <w:sz w:val="24"/>
          <w:szCs w:val="24"/>
        </w:rPr>
        <w:t xml:space="preserve"> (рефлексия) и соблюдение определенных условий: активность участников процесса, разрешение высказывать разнообр</w:t>
      </w:r>
      <w:r>
        <w:rPr>
          <w:rFonts w:ascii="Times New Roman" w:hAnsi="Times New Roman" w:cs="Times New Roman"/>
          <w:sz w:val="24"/>
          <w:szCs w:val="24"/>
        </w:rPr>
        <w:t>аз</w:t>
      </w:r>
      <w:r w:rsidRPr="00E02599">
        <w:rPr>
          <w:rFonts w:ascii="Times New Roman" w:hAnsi="Times New Roman" w:cs="Times New Roman"/>
          <w:sz w:val="24"/>
          <w:szCs w:val="24"/>
        </w:rPr>
        <w:t xml:space="preserve">ные «рискованные» идеи и т. д. Урок, занятие, серия уроков (занятий), тема, курс могут быть построены в соответствии с заявленным алгоритмом. </w:t>
      </w:r>
    </w:p>
    <w:p w:rsidR="00E02599" w:rsidRDefault="00E02599" w:rsidP="00E02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599">
        <w:rPr>
          <w:rFonts w:ascii="Times New Roman" w:hAnsi="Times New Roman" w:cs="Times New Roman"/>
          <w:sz w:val="24"/>
          <w:szCs w:val="24"/>
        </w:rPr>
        <w:t>Первая стадия (фаза) – вызов, когда ставится задача н</w:t>
      </w:r>
      <w:r>
        <w:rPr>
          <w:rFonts w:ascii="Times New Roman" w:hAnsi="Times New Roman" w:cs="Times New Roman"/>
          <w:sz w:val="24"/>
          <w:szCs w:val="24"/>
        </w:rPr>
        <w:t>е только активизировать, заинте</w:t>
      </w:r>
      <w:r w:rsidRPr="00E02599">
        <w:rPr>
          <w:rFonts w:ascii="Times New Roman" w:hAnsi="Times New Roman" w:cs="Times New Roman"/>
          <w:sz w:val="24"/>
          <w:szCs w:val="24"/>
        </w:rPr>
        <w:t>ресовать учащегося, мотивировать его на дальнейшую работу, но и «вызвать» уже имеющиеся знания либо созд</w:t>
      </w:r>
      <w:r>
        <w:rPr>
          <w:rFonts w:ascii="Times New Roman" w:hAnsi="Times New Roman" w:cs="Times New Roman"/>
          <w:sz w:val="24"/>
          <w:szCs w:val="24"/>
        </w:rPr>
        <w:t>ать ассоциации по изучаемому во</w:t>
      </w:r>
      <w:r w:rsidRPr="00E02599">
        <w:rPr>
          <w:rFonts w:ascii="Times New Roman" w:hAnsi="Times New Roman" w:cs="Times New Roman"/>
          <w:sz w:val="24"/>
          <w:szCs w:val="24"/>
        </w:rPr>
        <w:t xml:space="preserve">просу, что само по себе станет серьезным активизирующим и мотивирующим фактором для дальнейшей работы. </w:t>
      </w:r>
    </w:p>
    <w:p w:rsidR="00E02599" w:rsidRDefault="00E02599" w:rsidP="00E02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599">
        <w:rPr>
          <w:rFonts w:ascii="Times New Roman" w:hAnsi="Times New Roman" w:cs="Times New Roman"/>
          <w:sz w:val="24"/>
          <w:szCs w:val="24"/>
        </w:rPr>
        <w:t xml:space="preserve"> Вторая стадия (фаза) – осмысление (реализация см</w:t>
      </w:r>
      <w:r>
        <w:rPr>
          <w:rFonts w:ascii="Times New Roman" w:hAnsi="Times New Roman" w:cs="Times New Roman"/>
          <w:sz w:val="24"/>
          <w:szCs w:val="24"/>
        </w:rPr>
        <w:t>ысла). На этой стадии идет непо</w:t>
      </w:r>
      <w:r w:rsidRPr="00E02599">
        <w:rPr>
          <w:rFonts w:ascii="Times New Roman" w:hAnsi="Times New Roman" w:cs="Times New Roman"/>
          <w:sz w:val="24"/>
          <w:szCs w:val="24"/>
        </w:rPr>
        <w:t>средственная работа с информац</w:t>
      </w:r>
      <w:r>
        <w:rPr>
          <w:rFonts w:ascii="Times New Roman" w:hAnsi="Times New Roman" w:cs="Times New Roman"/>
          <w:sz w:val="24"/>
          <w:szCs w:val="24"/>
        </w:rPr>
        <w:t>ией, причем приемы и методы технологии развития критического мышления</w:t>
      </w:r>
      <w:r w:rsidRPr="00E02599">
        <w:rPr>
          <w:rFonts w:ascii="Times New Roman" w:hAnsi="Times New Roman" w:cs="Times New Roman"/>
          <w:sz w:val="24"/>
          <w:szCs w:val="24"/>
        </w:rPr>
        <w:t xml:space="preserve"> позволяют сохранить активность ученика, сделать чтение или слушание осмысленным. </w:t>
      </w:r>
    </w:p>
    <w:p w:rsidR="00E02599" w:rsidRDefault="00E02599" w:rsidP="00E02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599">
        <w:rPr>
          <w:rFonts w:ascii="Times New Roman" w:hAnsi="Times New Roman" w:cs="Times New Roman"/>
          <w:sz w:val="24"/>
          <w:szCs w:val="24"/>
        </w:rPr>
        <w:t xml:space="preserve">Третья стадия (фаза) – рефлексия (размышление). </w:t>
      </w:r>
      <w:r>
        <w:rPr>
          <w:rFonts w:ascii="Times New Roman" w:hAnsi="Times New Roman" w:cs="Times New Roman"/>
          <w:sz w:val="24"/>
          <w:szCs w:val="24"/>
        </w:rPr>
        <w:t>На этой стадии информация анали</w:t>
      </w:r>
      <w:r w:rsidRPr="00E02599">
        <w:rPr>
          <w:rFonts w:ascii="Times New Roman" w:hAnsi="Times New Roman" w:cs="Times New Roman"/>
          <w:sz w:val="24"/>
          <w:szCs w:val="24"/>
        </w:rPr>
        <w:t>зируется, интерпретируется, творчески перерабатывается.</w:t>
      </w:r>
    </w:p>
    <w:p w:rsidR="00D77B1C" w:rsidRPr="00D77B1C" w:rsidRDefault="00D77B1C" w:rsidP="00E02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77B1C">
        <w:rPr>
          <w:rFonts w:ascii="Times New Roman" w:hAnsi="Times New Roman" w:cs="Times New Roman"/>
          <w:sz w:val="24"/>
          <w:szCs w:val="24"/>
        </w:rPr>
        <w:t xml:space="preserve">Технология представляет собой целостную систему, </w:t>
      </w:r>
      <w:r>
        <w:rPr>
          <w:rFonts w:ascii="Times New Roman" w:hAnsi="Times New Roman" w:cs="Times New Roman"/>
          <w:sz w:val="24"/>
          <w:szCs w:val="24"/>
        </w:rPr>
        <w:t>формирующую навыки работы с тек</w:t>
      </w:r>
      <w:r w:rsidRPr="00D77B1C">
        <w:rPr>
          <w:rFonts w:ascii="Times New Roman" w:hAnsi="Times New Roman" w:cs="Times New Roman"/>
          <w:sz w:val="24"/>
          <w:szCs w:val="24"/>
        </w:rPr>
        <w:t>стом. Особенность технологии – работа с информацией – чтение и письмо. Различные приемы, касающиеся работы с информацией, организация работы в классе, группе, – это ключевые слова, работа с различными типами вопросов, активное чтение, графические способы организации материала</w:t>
      </w:r>
      <w:r w:rsidR="0033247E" w:rsidRPr="0033247E">
        <w:rPr>
          <w:rFonts w:ascii="Times New Roman" w:hAnsi="Times New Roman" w:cs="Times New Roman"/>
          <w:sz w:val="24"/>
          <w:szCs w:val="24"/>
        </w:rPr>
        <w:t>. Главная цель технологии развития критиче</w:t>
      </w:r>
      <w:r w:rsidR="0033247E">
        <w:rPr>
          <w:rFonts w:ascii="Times New Roman" w:hAnsi="Times New Roman" w:cs="Times New Roman"/>
          <w:sz w:val="24"/>
          <w:szCs w:val="24"/>
        </w:rPr>
        <w:t>ского мышления — развитие интел</w:t>
      </w:r>
      <w:r w:rsidR="0033247E" w:rsidRPr="0033247E">
        <w:rPr>
          <w:rFonts w:ascii="Times New Roman" w:hAnsi="Times New Roman" w:cs="Times New Roman"/>
          <w:sz w:val="24"/>
          <w:szCs w:val="24"/>
        </w:rPr>
        <w:t>лектуальных способностей ученика, позвол</w:t>
      </w:r>
      <w:r w:rsidR="0033247E">
        <w:rPr>
          <w:rFonts w:ascii="Times New Roman" w:hAnsi="Times New Roman" w:cs="Times New Roman"/>
          <w:sz w:val="24"/>
          <w:szCs w:val="24"/>
        </w:rPr>
        <w:t>яющих ему учиться самостоятельно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7B1C">
        <w:rPr>
          <w:rFonts w:ascii="Times New Roman" w:hAnsi="Times New Roman" w:cs="Times New Roman"/>
          <w:sz w:val="24"/>
          <w:szCs w:val="24"/>
        </w:rPr>
        <w:t>[2].</w:t>
      </w:r>
    </w:p>
    <w:p w:rsidR="007A1D13" w:rsidRDefault="00E02599" w:rsidP="00DB4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каждой стадии урока необходимо применять методы критического мышления, которые еще и способствуют формированию читательской грамотности учащихся. </w:t>
      </w:r>
    </w:p>
    <w:p w:rsidR="00E02599" w:rsidRDefault="00E02599" w:rsidP="00DB4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Рассмотрим более внимательно применение нескольких методов кр</w:t>
      </w:r>
      <w:r w:rsidR="00511285">
        <w:rPr>
          <w:rFonts w:ascii="Times New Roman" w:hAnsi="Times New Roman" w:cs="Times New Roman"/>
          <w:sz w:val="24"/>
          <w:szCs w:val="24"/>
        </w:rPr>
        <w:t>итического мышления у учащихся 8</w:t>
      </w:r>
      <w:r>
        <w:rPr>
          <w:rFonts w:ascii="Times New Roman" w:hAnsi="Times New Roman" w:cs="Times New Roman"/>
          <w:sz w:val="24"/>
          <w:szCs w:val="24"/>
        </w:rPr>
        <w:t xml:space="preserve"> класса на уроках химии.</w:t>
      </w:r>
    </w:p>
    <w:p w:rsidR="00E02599" w:rsidRPr="00E02599" w:rsidRDefault="00E02599" w:rsidP="00E02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E02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Концептуальная карта – это графически представленная информация в табличной форме, отражающая точный факт (по изучаемой теме). </w:t>
      </w:r>
    </w:p>
    <w:p w:rsidR="00E02599" w:rsidRPr="00E02599" w:rsidRDefault="00E02599" w:rsidP="00E02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59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составления концептуальной карты:</w:t>
      </w:r>
    </w:p>
    <w:p w:rsidR="00E02599" w:rsidRPr="00E02599" w:rsidRDefault="00E02599" w:rsidP="00E02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599">
        <w:rPr>
          <w:rFonts w:ascii="Times New Roman" w:eastAsia="Times New Roman" w:hAnsi="Times New Roman" w:cs="Times New Roman"/>
          <w:sz w:val="24"/>
          <w:szCs w:val="24"/>
          <w:lang w:eastAsia="ru-RU"/>
        </w:rPr>
        <w:t>1.Доаудиторная подготовка. Определение и выбор изучаемой темы.</w:t>
      </w:r>
    </w:p>
    <w:p w:rsidR="00E02599" w:rsidRPr="00E02599" w:rsidRDefault="00E02599" w:rsidP="00E02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599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Составление таблицы: первая графа (вертикальная) даёт основное понятие, изучаемое в теме урока, остальные горизонтальные графы раскрывают понятие темы, показывают преемственность идей.</w:t>
      </w:r>
    </w:p>
    <w:p w:rsidR="00E02599" w:rsidRPr="00E02599" w:rsidRDefault="00E02599" w:rsidP="00E02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599">
        <w:rPr>
          <w:rFonts w:ascii="Times New Roman" w:eastAsia="Times New Roman" w:hAnsi="Times New Roman" w:cs="Times New Roman"/>
          <w:sz w:val="24"/>
          <w:szCs w:val="24"/>
          <w:lang w:eastAsia="ru-RU"/>
        </w:rPr>
        <w:t>3.Проведение учителем предварительного инструктажа по заполнению концептуальной карты. Учащиеся в таблице на пересечении граф прописывают точный факт по изучаемой теме.</w:t>
      </w:r>
    </w:p>
    <w:p w:rsidR="00E02599" w:rsidRPr="00E02599" w:rsidRDefault="00E02599" w:rsidP="00E02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E02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«Концептуальная карта» может применяться на всех этапах урока. На мотивационном этапе с целью вовлечь учащихся в познавательный процесс, на операционном </w:t>
      </w:r>
      <w:r w:rsidRPr="00E025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этапе с целью изучения нового материала, на этапе рефлексии с целью закрепить изученный материал.</w:t>
      </w:r>
    </w:p>
    <w:p w:rsidR="00E02599" w:rsidRPr="00E02599" w:rsidRDefault="00E02599" w:rsidP="00E02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59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Например</w:t>
      </w:r>
      <w:r w:rsidRPr="00E0259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тему «Состав и строение атом</w:t>
      </w:r>
      <w:r w:rsidR="0051128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Изотопы» по предмету Химия, 8</w:t>
      </w:r>
      <w:r w:rsidRPr="00E02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Учащиеся определяют строение атома и вписывают точные данные в таблицу (таблица 1).</w:t>
      </w:r>
    </w:p>
    <w:p w:rsidR="00E02599" w:rsidRPr="00E02599" w:rsidRDefault="00E02599" w:rsidP="00E025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350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4"/>
        <w:gridCol w:w="1657"/>
        <w:gridCol w:w="1610"/>
        <w:gridCol w:w="1708"/>
        <w:gridCol w:w="1931"/>
      </w:tblGrid>
      <w:tr w:rsidR="00E02599" w:rsidRPr="00E02599" w:rsidTr="00F97AF4">
        <w:trPr>
          <w:trHeight w:val="567"/>
          <w:tblCellSpacing w:w="0" w:type="dxa"/>
        </w:trPr>
        <w:tc>
          <w:tcPr>
            <w:tcW w:w="144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16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Протоны</w:t>
            </w:r>
          </w:p>
        </w:tc>
        <w:tc>
          <w:tcPr>
            <w:tcW w:w="16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Нейтроны</w:t>
            </w:r>
          </w:p>
        </w:tc>
        <w:tc>
          <w:tcPr>
            <w:tcW w:w="17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Электроны</w:t>
            </w:r>
          </w:p>
        </w:tc>
        <w:tc>
          <w:tcPr>
            <w:tcW w:w="193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Массовое число</w:t>
            </w:r>
          </w:p>
        </w:tc>
      </w:tr>
      <w:tr w:rsidR="00E02599" w:rsidRPr="00E02599" w:rsidTr="00F97AF4">
        <w:trPr>
          <w:trHeight w:val="567"/>
          <w:tblCellSpacing w:w="0" w:type="dxa"/>
        </w:trPr>
        <w:tc>
          <w:tcPr>
            <w:tcW w:w="144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2599" w:rsidRPr="00E02599" w:rsidTr="00F97AF4">
        <w:trPr>
          <w:trHeight w:val="567"/>
          <w:tblCellSpacing w:w="0" w:type="dxa"/>
        </w:trPr>
        <w:tc>
          <w:tcPr>
            <w:tcW w:w="144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2599" w:rsidRPr="00E02599" w:rsidTr="00F97AF4">
        <w:trPr>
          <w:trHeight w:val="567"/>
          <w:tblCellSpacing w:w="0" w:type="dxa"/>
        </w:trPr>
        <w:tc>
          <w:tcPr>
            <w:tcW w:w="144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2599" w:rsidRPr="00E02599" w:rsidTr="00F97AF4">
        <w:trPr>
          <w:trHeight w:val="567"/>
          <w:tblCellSpacing w:w="0" w:type="dxa"/>
        </w:trPr>
        <w:tc>
          <w:tcPr>
            <w:tcW w:w="144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02599" w:rsidRPr="00E02599" w:rsidRDefault="00E02599" w:rsidP="00E025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E0259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Таблица 1 – Определение состава атома</w:t>
      </w:r>
    </w:p>
    <w:p w:rsidR="00E02599" w:rsidRPr="00E02599" w:rsidRDefault="00E02599" w:rsidP="00E025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02599" w:rsidRPr="00E02599" w:rsidRDefault="00E02599" w:rsidP="00E025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E0259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Сигнальный ответ</w:t>
      </w:r>
    </w:p>
    <w:p w:rsidR="00E02599" w:rsidRPr="00E02599" w:rsidRDefault="00E02599" w:rsidP="00E025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8350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4"/>
        <w:gridCol w:w="1657"/>
        <w:gridCol w:w="1610"/>
        <w:gridCol w:w="1708"/>
        <w:gridCol w:w="1931"/>
      </w:tblGrid>
      <w:tr w:rsidR="00E02599" w:rsidRPr="00E02599" w:rsidTr="00F97AF4">
        <w:trPr>
          <w:trHeight w:val="567"/>
          <w:tblCellSpacing w:w="0" w:type="dxa"/>
        </w:trPr>
        <w:tc>
          <w:tcPr>
            <w:tcW w:w="144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16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Протоны</w:t>
            </w:r>
          </w:p>
        </w:tc>
        <w:tc>
          <w:tcPr>
            <w:tcW w:w="16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Нейтроны</w:t>
            </w:r>
          </w:p>
        </w:tc>
        <w:tc>
          <w:tcPr>
            <w:tcW w:w="17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Электроны</w:t>
            </w:r>
          </w:p>
        </w:tc>
        <w:tc>
          <w:tcPr>
            <w:tcW w:w="193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Массовое число</w:t>
            </w:r>
          </w:p>
        </w:tc>
      </w:tr>
      <w:tr w:rsidR="00E02599" w:rsidRPr="00E02599" w:rsidTr="00F97AF4">
        <w:trPr>
          <w:trHeight w:val="567"/>
          <w:tblCellSpacing w:w="0" w:type="dxa"/>
        </w:trPr>
        <w:tc>
          <w:tcPr>
            <w:tcW w:w="144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E02599" w:rsidRPr="00E02599" w:rsidTr="00F97AF4">
        <w:trPr>
          <w:trHeight w:val="567"/>
          <w:tblCellSpacing w:w="0" w:type="dxa"/>
        </w:trPr>
        <w:tc>
          <w:tcPr>
            <w:tcW w:w="144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E02599" w:rsidRPr="00E02599" w:rsidTr="00F97AF4">
        <w:trPr>
          <w:trHeight w:val="567"/>
          <w:tblCellSpacing w:w="0" w:type="dxa"/>
        </w:trPr>
        <w:tc>
          <w:tcPr>
            <w:tcW w:w="144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E02599" w:rsidRPr="00E02599" w:rsidTr="00F97AF4">
        <w:trPr>
          <w:trHeight w:val="567"/>
          <w:tblCellSpacing w:w="0" w:type="dxa"/>
        </w:trPr>
        <w:tc>
          <w:tcPr>
            <w:tcW w:w="144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</w:tbl>
    <w:p w:rsidR="00E02599" w:rsidRPr="00E02599" w:rsidRDefault="00E02599" w:rsidP="00E025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02599" w:rsidRDefault="00E02599" w:rsidP="00E02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 «Семантическая карта»</w:t>
      </w:r>
    </w:p>
    <w:p w:rsidR="00E02599" w:rsidRPr="00E02599" w:rsidRDefault="00E02599" w:rsidP="00E02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2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метод похож на метод «Концептуальная карта». Основное отличие заключается в том, что данные в таблице заполняются проставлением знаков «+» или «-». </w:t>
      </w:r>
    </w:p>
    <w:p w:rsidR="00E02599" w:rsidRDefault="00E02599" w:rsidP="00E02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5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по теме «Природные кислоты и щелочи. Индикаторы» учащимся для закрепления изученной темы можно предложить заполнить семантическую таблицу.</w:t>
      </w:r>
    </w:p>
    <w:p w:rsidR="00E02599" w:rsidRDefault="00E02599" w:rsidP="00E02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8"/>
        <w:gridCol w:w="1012"/>
        <w:gridCol w:w="785"/>
        <w:gridCol w:w="1370"/>
        <w:gridCol w:w="1322"/>
        <w:gridCol w:w="1278"/>
        <w:gridCol w:w="1003"/>
        <w:gridCol w:w="938"/>
        <w:gridCol w:w="1271"/>
      </w:tblGrid>
      <w:tr w:rsidR="00E02599" w:rsidRPr="00E02599" w:rsidTr="00E02599">
        <w:tc>
          <w:tcPr>
            <w:tcW w:w="1218" w:type="dxa"/>
            <w:vMerge w:val="restart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Название</w:t>
            </w:r>
          </w:p>
        </w:tc>
        <w:tc>
          <w:tcPr>
            <w:tcW w:w="3167" w:type="dxa"/>
            <w:gridSpan w:val="3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Лакмус</w:t>
            </w:r>
          </w:p>
        </w:tc>
        <w:tc>
          <w:tcPr>
            <w:tcW w:w="2600" w:type="dxa"/>
            <w:gridSpan w:val="2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Фенолфталеин</w:t>
            </w:r>
          </w:p>
        </w:tc>
        <w:tc>
          <w:tcPr>
            <w:tcW w:w="3212" w:type="dxa"/>
            <w:gridSpan w:val="3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Метилоранж</w:t>
            </w:r>
          </w:p>
        </w:tc>
      </w:tr>
      <w:tr w:rsidR="00E02599" w:rsidRPr="00E02599" w:rsidTr="00E02599">
        <w:tc>
          <w:tcPr>
            <w:tcW w:w="1218" w:type="dxa"/>
            <w:vMerge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красный</w:t>
            </w:r>
          </w:p>
        </w:tc>
        <w:tc>
          <w:tcPr>
            <w:tcW w:w="785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синий</w:t>
            </w:r>
          </w:p>
        </w:tc>
        <w:tc>
          <w:tcPr>
            <w:tcW w:w="1370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фиолетовый</w:t>
            </w:r>
          </w:p>
        </w:tc>
        <w:tc>
          <w:tcPr>
            <w:tcW w:w="1322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бесцветный</w:t>
            </w:r>
          </w:p>
        </w:tc>
        <w:tc>
          <w:tcPr>
            <w:tcW w:w="127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малиновый</w:t>
            </w:r>
          </w:p>
        </w:tc>
        <w:tc>
          <w:tcPr>
            <w:tcW w:w="1003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розовый</w:t>
            </w:r>
          </w:p>
        </w:tc>
        <w:tc>
          <w:tcPr>
            <w:tcW w:w="93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желтый</w:t>
            </w:r>
          </w:p>
        </w:tc>
        <w:tc>
          <w:tcPr>
            <w:tcW w:w="1271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оранжевый</w:t>
            </w:r>
          </w:p>
        </w:tc>
      </w:tr>
      <w:tr w:rsidR="00E02599" w:rsidRPr="00E02599" w:rsidTr="00E02599">
        <w:tc>
          <w:tcPr>
            <w:tcW w:w="121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E025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NaOH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0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2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3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1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599" w:rsidRPr="00E02599" w:rsidTr="00E02599">
        <w:tc>
          <w:tcPr>
            <w:tcW w:w="121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E025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HCl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0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2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3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1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599" w:rsidRPr="00E02599" w:rsidTr="00E02599">
        <w:tc>
          <w:tcPr>
            <w:tcW w:w="121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Ca(OH)</w:t>
            </w:r>
            <w:r w:rsidRPr="00E025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012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0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2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3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1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599" w:rsidRPr="00E02599" w:rsidTr="00E02599">
        <w:tc>
          <w:tcPr>
            <w:tcW w:w="121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HNO</w:t>
            </w:r>
            <w:r w:rsidRPr="00E025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012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0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2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3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1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02599" w:rsidRDefault="00E02599" w:rsidP="00E02599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  <w:r w:rsidRPr="00E02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Семантическая таблица по теме «Индикаторы»</w:t>
      </w:r>
    </w:p>
    <w:p w:rsidR="00E02599" w:rsidRDefault="00E02599" w:rsidP="00E02599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599" w:rsidRDefault="00E02599" w:rsidP="00E02599">
      <w:pPr>
        <w:tabs>
          <w:tab w:val="left" w:pos="17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Сигнальный ответ</w:t>
      </w:r>
    </w:p>
    <w:tbl>
      <w:tblPr>
        <w:tblW w:w="10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8"/>
        <w:gridCol w:w="1012"/>
        <w:gridCol w:w="785"/>
        <w:gridCol w:w="1370"/>
        <w:gridCol w:w="1322"/>
        <w:gridCol w:w="1278"/>
        <w:gridCol w:w="1003"/>
        <w:gridCol w:w="938"/>
        <w:gridCol w:w="1271"/>
      </w:tblGrid>
      <w:tr w:rsidR="00E02599" w:rsidRPr="00E02599" w:rsidTr="00F97AF4">
        <w:tc>
          <w:tcPr>
            <w:tcW w:w="1095" w:type="dxa"/>
            <w:vMerge w:val="restart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Название</w:t>
            </w:r>
          </w:p>
        </w:tc>
        <w:tc>
          <w:tcPr>
            <w:tcW w:w="3167" w:type="dxa"/>
            <w:gridSpan w:val="3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Лакмус</w:t>
            </w:r>
          </w:p>
        </w:tc>
        <w:tc>
          <w:tcPr>
            <w:tcW w:w="2600" w:type="dxa"/>
            <w:gridSpan w:val="2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Фенолфталеин</w:t>
            </w:r>
          </w:p>
        </w:tc>
        <w:tc>
          <w:tcPr>
            <w:tcW w:w="3212" w:type="dxa"/>
            <w:gridSpan w:val="3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Метилоранж</w:t>
            </w:r>
          </w:p>
        </w:tc>
      </w:tr>
      <w:tr w:rsidR="00E02599" w:rsidRPr="00E02599" w:rsidTr="00F97AF4">
        <w:tc>
          <w:tcPr>
            <w:tcW w:w="1095" w:type="dxa"/>
            <w:vMerge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красный</w:t>
            </w:r>
          </w:p>
        </w:tc>
        <w:tc>
          <w:tcPr>
            <w:tcW w:w="785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синий</w:t>
            </w:r>
          </w:p>
        </w:tc>
        <w:tc>
          <w:tcPr>
            <w:tcW w:w="1370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фиолетовый</w:t>
            </w:r>
          </w:p>
        </w:tc>
        <w:tc>
          <w:tcPr>
            <w:tcW w:w="1322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бесцветный</w:t>
            </w:r>
          </w:p>
        </w:tc>
        <w:tc>
          <w:tcPr>
            <w:tcW w:w="127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малиновый</w:t>
            </w:r>
          </w:p>
        </w:tc>
        <w:tc>
          <w:tcPr>
            <w:tcW w:w="1003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розовый</w:t>
            </w:r>
          </w:p>
        </w:tc>
        <w:tc>
          <w:tcPr>
            <w:tcW w:w="93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желтый</w:t>
            </w:r>
          </w:p>
        </w:tc>
        <w:tc>
          <w:tcPr>
            <w:tcW w:w="1271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lang w:eastAsia="ru-RU"/>
              </w:rPr>
              <w:t>оранжевый</w:t>
            </w:r>
          </w:p>
        </w:tc>
      </w:tr>
      <w:tr w:rsidR="00E02599" w:rsidRPr="00E02599" w:rsidTr="00F97AF4">
        <w:tc>
          <w:tcPr>
            <w:tcW w:w="1095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E025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NaOH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370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2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03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1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599" w:rsidRPr="00E02599" w:rsidTr="00F97AF4">
        <w:tc>
          <w:tcPr>
            <w:tcW w:w="1095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E025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HCl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785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0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2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3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3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1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599" w:rsidRPr="00E02599" w:rsidTr="00F97AF4">
        <w:tc>
          <w:tcPr>
            <w:tcW w:w="1095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Ca(OH)</w:t>
            </w:r>
            <w:r w:rsidRPr="00E025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012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370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2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03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1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599" w:rsidRPr="00E02599" w:rsidTr="00F97AF4">
        <w:tc>
          <w:tcPr>
            <w:tcW w:w="1095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HNO</w:t>
            </w:r>
            <w:r w:rsidRPr="00E025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012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785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0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2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3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38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1" w:type="dxa"/>
            <w:shd w:val="clear" w:color="auto" w:fill="auto"/>
          </w:tcPr>
          <w:p w:rsidR="00E02599" w:rsidRPr="00E02599" w:rsidRDefault="00E02599" w:rsidP="00E02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02599" w:rsidRPr="00E02599" w:rsidRDefault="00E02599" w:rsidP="00E02599">
      <w:pPr>
        <w:tabs>
          <w:tab w:val="left" w:pos="17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662A" w:rsidRPr="0074662A" w:rsidRDefault="0074662A" w:rsidP="00746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662A" w:rsidRPr="00ED7691" w:rsidRDefault="00ED7691" w:rsidP="00ED7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691">
        <w:rPr>
          <w:rFonts w:ascii="Times New Roman" w:hAnsi="Times New Roman" w:cs="Times New Roman"/>
          <w:sz w:val="24"/>
          <w:szCs w:val="24"/>
        </w:rPr>
        <w:t xml:space="preserve">Приемы и стратегии, описанные в </w:t>
      </w:r>
      <w:r>
        <w:rPr>
          <w:rFonts w:ascii="Times New Roman" w:hAnsi="Times New Roman" w:cs="Times New Roman"/>
          <w:sz w:val="24"/>
          <w:szCs w:val="24"/>
        </w:rPr>
        <w:t>статье,</w:t>
      </w:r>
      <w:r w:rsidRPr="00ED7691">
        <w:rPr>
          <w:rFonts w:ascii="Times New Roman" w:hAnsi="Times New Roman" w:cs="Times New Roman"/>
          <w:sz w:val="24"/>
          <w:szCs w:val="24"/>
        </w:rPr>
        <w:t xml:space="preserve"> помогают «научить рефлексии», дают возможность «увидеть» собственный мысл</w:t>
      </w:r>
      <w:r>
        <w:rPr>
          <w:rFonts w:ascii="Times New Roman" w:hAnsi="Times New Roman" w:cs="Times New Roman"/>
          <w:sz w:val="24"/>
          <w:szCs w:val="24"/>
        </w:rPr>
        <w:t>ительный путь, оценить свои дей</w:t>
      </w:r>
      <w:r w:rsidRPr="00ED7691">
        <w:rPr>
          <w:rFonts w:ascii="Times New Roman" w:hAnsi="Times New Roman" w:cs="Times New Roman"/>
          <w:sz w:val="24"/>
          <w:szCs w:val="24"/>
        </w:rPr>
        <w:t xml:space="preserve">ствия. Важнейшим является положение о том, что процесс освоения подобной технологии – двусторонний, в результате </w:t>
      </w:r>
      <w:proofErr w:type="spellStart"/>
      <w:r w:rsidRPr="00ED7691">
        <w:rPr>
          <w:rFonts w:ascii="Times New Roman" w:hAnsi="Times New Roman" w:cs="Times New Roman"/>
          <w:sz w:val="24"/>
          <w:szCs w:val="24"/>
        </w:rPr>
        <w:t>метакогнитивные</w:t>
      </w:r>
      <w:proofErr w:type="spellEnd"/>
      <w:r w:rsidRPr="00ED7691">
        <w:rPr>
          <w:rFonts w:ascii="Times New Roman" w:hAnsi="Times New Roman" w:cs="Times New Roman"/>
          <w:sz w:val="24"/>
          <w:szCs w:val="24"/>
        </w:rPr>
        <w:t xml:space="preserve"> умения становятся достоянием как ученика, так и учителя</w:t>
      </w:r>
      <w:r>
        <w:rPr>
          <w:rFonts w:ascii="Times New Roman" w:hAnsi="Times New Roman" w:cs="Times New Roman"/>
          <w:sz w:val="24"/>
          <w:szCs w:val="24"/>
        </w:rPr>
        <w:t xml:space="preserve">. Для каждого учителя найдутся удобные методы критического мышления, которые будут активно практиковаться на уроках. </w:t>
      </w:r>
    </w:p>
    <w:p w:rsidR="00E02599" w:rsidRPr="00ED7691" w:rsidRDefault="00E02599" w:rsidP="00746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599" w:rsidRPr="00E02599" w:rsidRDefault="00E02599" w:rsidP="00E02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2599" w:rsidRDefault="00E02599" w:rsidP="00ED7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2599" w:rsidRDefault="00E02599" w:rsidP="00DB4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2599" w:rsidRDefault="00E02599" w:rsidP="002E23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ЛИТЕРАТУРЫ:</w:t>
      </w:r>
    </w:p>
    <w:p w:rsidR="00456D45" w:rsidRPr="00456D45" w:rsidRDefault="00511285" w:rsidP="00511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56D45">
        <w:rPr>
          <w:rFonts w:ascii="Times New Roman" w:hAnsi="Times New Roman" w:cs="Times New Roman"/>
          <w:sz w:val="24"/>
          <w:szCs w:val="24"/>
        </w:rPr>
        <w:t>.</w:t>
      </w:r>
      <w:r w:rsidR="00456D45" w:rsidRPr="00456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6D45">
        <w:rPr>
          <w:rFonts w:ascii="Times New Roman" w:hAnsi="Times New Roman" w:cs="Times New Roman"/>
          <w:sz w:val="24"/>
          <w:szCs w:val="24"/>
        </w:rPr>
        <w:t>Муштавинская</w:t>
      </w:r>
      <w:proofErr w:type="spellEnd"/>
      <w:r w:rsidR="00456D45">
        <w:rPr>
          <w:rFonts w:ascii="Times New Roman" w:hAnsi="Times New Roman" w:cs="Times New Roman"/>
          <w:sz w:val="24"/>
          <w:szCs w:val="24"/>
        </w:rPr>
        <w:t xml:space="preserve"> И.В.</w:t>
      </w:r>
      <w:r w:rsidR="00456D45" w:rsidRPr="00456D45">
        <w:rPr>
          <w:rFonts w:ascii="Times New Roman" w:hAnsi="Times New Roman" w:cs="Times New Roman"/>
          <w:sz w:val="24"/>
          <w:szCs w:val="24"/>
        </w:rPr>
        <w:t xml:space="preserve"> </w:t>
      </w:r>
      <w:r w:rsidR="00456D45" w:rsidRPr="00E02599">
        <w:rPr>
          <w:rFonts w:ascii="Times New Roman" w:hAnsi="Times New Roman" w:cs="Times New Roman"/>
          <w:sz w:val="24"/>
          <w:szCs w:val="24"/>
        </w:rPr>
        <w:t>«Технология развития критического мышления на уроке и в системе подготовки учителя»</w:t>
      </w:r>
      <w:r w:rsidR="00456D45">
        <w:rPr>
          <w:rFonts w:ascii="Times New Roman" w:hAnsi="Times New Roman" w:cs="Times New Roman"/>
          <w:sz w:val="24"/>
          <w:szCs w:val="24"/>
        </w:rPr>
        <w:t xml:space="preserve">. «КАРО», </w:t>
      </w:r>
      <w:proofErr w:type="gramStart"/>
      <w:r w:rsidR="00456D45">
        <w:rPr>
          <w:rFonts w:ascii="Times New Roman" w:hAnsi="Times New Roman" w:cs="Times New Roman"/>
          <w:sz w:val="24"/>
          <w:szCs w:val="24"/>
        </w:rPr>
        <w:t>2009.-</w:t>
      </w:r>
      <w:proofErr w:type="gramEnd"/>
      <w:r w:rsidR="00456D45">
        <w:rPr>
          <w:rFonts w:ascii="Times New Roman" w:hAnsi="Times New Roman" w:cs="Times New Roman"/>
          <w:sz w:val="24"/>
          <w:szCs w:val="24"/>
        </w:rPr>
        <w:t>84с.</w:t>
      </w:r>
    </w:p>
    <w:p w:rsidR="00E02599" w:rsidRDefault="00E02599" w:rsidP="00511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02599" w:rsidRPr="007A1D13" w:rsidRDefault="00E02599" w:rsidP="00DB4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5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6D45" w:rsidRPr="007A1D13" w:rsidRDefault="00456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56D45" w:rsidRPr="007A1D13" w:rsidSect="007A1D1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219F"/>
    <w:multiLevelType w:val="multilevel"/>
    <w:tmpl w:val="FD1CD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D13"/>
    <w:rsid w:val="002504BE"/>
    <w:rsid w:val="002E2334"/>
    <w:rsid w:val="0033247E"/>
    <w:rsid w:val="00456D45"/>
    <w:rsid w:val="00511285"/>
    <w:rsid w:val="0074662A"/>
    <w:rsid w:val="007A1D13"/>
    <w:rsid w:val="00D77B1C"/>
    <w:rsid w:val="00DB47DC"/>
    <w:rsid w:val="00E02599"/>
    <w:rsid w:val="00ED7691"/>
    <w:rsid w:val="00E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6722"/>
  <w15:chartTrackingRefBased/>
  <w15:docId w15:val="{B0A25F9E-87F3-493A-AAE9-D0442AD3C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599"/>
    <w:pPr>
      <w:ind w:left="720"/>
      <w:contextualSpacing/>
    </w:pPr>
  </w:style>
  <w:style w:type="paragraph" w:customStyle="1" w:styleId="1">
    <w:name w:val="Абзац списка1"/>
    <w:basedOn w:val="a"/>
    <w:rsid w:val="00456D45"/>
    <w:pPr>
      <w:spacing w:after="200" w:line="276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8</cp:revision>
  <dcterms:created xsi:type="dcterms:W3CDTF">2022-03-24T15:38:00Z</dcterms:created>
  <dcterms:modified xsi:type="dcterms:W3CDTF">2024-11-20T12:18:00Z</dcterms:modified>
</cp:coreProperties>
</file>