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606" w:rsidRPr="00135698" w:rsidRDefault="003B3606" w:rsidP="00135698">
      <w:pPr>
        <w:widowControl w:val="0"/>
        <w:spacing w:line="360" w:lineRule="auto"/>
        <w:jc w:val="center"/>
        <w:rPr>
          <w:b/>
          <w:bCs/>
          <w:i/>
          <w:iCs/>
          <w:sz w:val="28"/>
          <w:szCs w:val="28"/>
        </w:rPr>
      </w:pPr>
      <w:r w:rsidRPr="00135698">
        <w:rPr>
          <w:b/>
          <w:bCs/>
          <w:iCs/>
          <w:sz w:val="28"/>
          <w:szCs w:val="28"/>
        </w:rPr>
        <w:t>ВЗАИМОСВЯЗЬ МОТИВАЦИИ ПРОФЕССИОНАЛЬНОЙ ДЕЯТЕЛЬНОСТИ И ЦЕННОСТЕЙ ГОСУДАРСТВЕННЫХ ГРАЖДАНСКИХ СЛУЖАЩИХ</w:t>
      </w:r>
    </w:p>
    <w:p w:rsidR="003B3606" w:rsidRPr="00135698" w:rsidRDefault="003B3606" w:rsidP="00135698">
      <w:pPr>
        <w:widowControl w:val="0"/>
        <w:spacing w:line="360" w:lineRule="auto"/>
        <w:rPr>
          <w:b/>
          <w:bCs/>
          <w:i/>
          <w:iCs/>
          <w:sz w:val="28"/>
          <w:szCs w:val="28"/>
        </w:rPr>
      </w:pPr>
    </w:p>
    <w:p w:rsidR="00896407" w:rsidRDefault="003B3606" w:rsidP="00896407">
      <w:pPr>
        <w:widowControl w:val="0"/>
        <w:spacing w:line="360" w:lineRule="auto"/>
        <w:rPr>
          <w:b/>
          <w:bCs/>
          <w:i/>
          <w:iCs/>
          <w:sz w:val="28"/>
          <w:szCs w:val="28"/>
        </w:rPr>
      </w:pPr>
      <w:r w:rsidRPr="00135698">
        <w:rPr>
          <w:b/>
          <w:bCs/>
          <w:i/>
          <w:iCs/>
          <w:sz w:val="28"/>
          <w:szCs w:val="28"/>
        </w:rPr>
        <w:t>Воробьев П.А</w:t>
      </w:r>
      <w:r w:rsidR="00896407">
        <w:rPr>
          <w:b/>
          <w:bCs/>
          <w:i/>
          <w:iCs/>
          <w:sz w:val="28"/>
          <w:szCs w:val="28"/>
        </w:rPr>
        <w:t>, магистрант</w:t>
      </w:r>
    </w:p>
    <w:p w:rsidR="00896407" w:rsidRPr="00896407" w:rsidRDefault="00896407" w:rsidP="00896407">
      <w:pPr>
        <w:widowControl w:val="0"/>
        <w:spacing w:line="360" w:lineRule="auto"/>
        <w:rPr>
          <w:b/>
          <w:bCs/>
          <w:i/>
          <w:iCs/>
          <w:sz w:val="28"/>
          <w:szCs w:val="28"/>
        </w:rPr>
      </w:pPr>
    </w:p>
    <w:p w:rsidR="001E0F6C" w:rsidRPr="00896407" w:rsidRDefault="001E0F6C" w:rsidP="00896407">
      <w:pPr>
        <w:widowControl w:val="0"/>
        <w:spacing w:line="360" w:lineRule="auto"/>
        <w:rPr>
          <w:bCs/>
          <w:iCs/>
          <w:sz w:val="28"/>
          <w:szCs w:val="28"/>
        </w:rPr>
      </w:pPr>
      <w:r w:rsidRPr="00135698">
        <w:rPr>
          <w:i/>
          <w:sz w:val="28"/>
          <w:szCs w:val="28"/>
        </w:rPr>
        <w:t>Аннотация: в</w:t>
      </w:r>
      <w:r w:rsidR="00135698">
        <w:rPr>
          <w:i/>
          <w:sz w:val="28"/>
          <w:szCs w:val="28"/>
        </w:rPr>
        <w:t xml:space="preserve"> статье </w:t>
      </w:r>
      <w:r w:rsidRPr="00135698">
        <w:rPr>
          <w:i/>
          <w:sz w:val="28"/>
          <w:szCs w:val="28"/>
        </w:rPr>
        <w:t>исследуется проблема взаимосвязи между мотивацией профессиональной деятельности и ценностными ориентациями государственных гражданских служащих. Работа основана на анализе теорий мотивации</w:t>
      </w:r>
      <w:r w:rsidR="00135698">
        <w:rPr>
          <w:i/>
          <w:sz w:val="28"/>
          <w:szCs w:val="28"/>
        </w:rPr>
        <w:t xml:space="preserve"> и ценностных ориентаций</w:t>
      </w:r>
      <w:r w:rsidRPr="00135698">
        <w:rPr>
          <w:i/>
          <w:sz w:val="28"/>
          <w:szCs w:val="28"/>
        </w:rPr>
        <w:t xml:space="preserve">, включая работы У. Джемса, Г. Мюррея и А. Маслоу, а также применении методов для изучения мотивации и ценностей, таких как методика Ф. Герцберга и «Ценностный опросник» Ш. Шварца. Исследование проводилось среди 35 государственных служащих города Благовещенска Амурской области. </w:t>
      </w:r>
    </w:p>
    <w:p w:rsidR="006B431B" w:rsidRDefault="006B431B" w:rsidP="006B431B">
      <w:pPr>
        <w:spacing w:line="360" w:lineRule="auto"/>
        <w:ind w:firstLine="709"/>
        <w:jc w:val="both"/>
        <w:rPr>
          <w:sz w:val="28"/>
          <w:szCs w:val="28"/>
        </w:rPr>
      </w:pPr>
    </w:p>
    <w:p w:rsidR="006B431B" w:rsidRDefault="001E0F6C" w:rsidP="006B431B">
      <w:pPr>
        <w:spacing w:line="360" w:lineRule="auto"/>
        <w:ind w:firstLine="709"/>
        <w:jc w:val="both"/>
        <w:rPr>
          <w:sz w:val="28"/>
          <w:szCs w:val="28"/>
        </w:rPr>
      </w:pPr>
      <w:r w:rsidRPr="00135698">
        <w:rPr>
          <w:sz w:val="28"/>
          <w:szCs w:val="28"/>
        </w:rPr>
        <w:t>Ключевые понятия: мотив, мотивация, ценности, гедонизм, конформизм, карьера, достижения, универсализм, ответственность, власть, безопасность</w:t>
      </w:r>
      <w:r w:rsidR="006B431B">
        <w:rPr>
          <w:sz w:val="28"/>
          <w:szCs w:val="28"/>
        </w:rPr>
        <w:t>.</w:t>
      </w:r>
    </w:p>
    <w:p w:rsidR="006B431B" w:rsidRDefault="006B431B" w:rsidP="006B431B">
      <w:pPr>
        <w:spacing w:line="360" w:lineRule="auto"/>
        <w:ind w:firstLine="709"/>
        <w:jc w:val="both"/>
        <w:rPr>
          <w:rFonts w:eastAsiaTheme="minorHAnsi"/>
          <w:sz w:val="28"/>
          <w:szCs w:val="28"/>
          <w:lang w:eastAsia="en-US"/>
        </w:rPr>
      </w:pPr>
    </w:p>
    <w:p w:rsidR="00135698" w:rsidRPr="00135698" w:rsidRDefault="00135698" w:rsidP="006B431B">
      <w:pPr>
        <w:spacing w:line="360" w:lineRule="auto"/>
        <w:ind w:firstLine="709"/>
        <w:jc w:val="both"/>
        <w:rPr>
          <w:sz w:val="28"/>
          <w:szCs w:val="28"/>
        </w:rPr>
      </w:pPr>
      <w:r w:rsidRPr="00135698">
        <w:rPr>
          <w:rFonts w:eastAsiaTheme="minorHAnsi"/>
          <w:sz w:val="28"/>
          <w:szCs w:val="28"/>
          <w:lang w:eastAsia="en-US"/>
        </w:rPr>
        <w:t>Мотивация играет ключевую роль в структуре личности и является основным понятием для объяснения движущих сил поведения. Многоаспектность проблемы мотивации привлекает внимание ученых на протяжении веков, что приводит к различным подходам к ее изучению и пониманию.</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Глубинными источниками мотивации выступают потребности, отражающие нужды человека в различных условиях жизни и деятельности. Труд удовлетворяет материальные и духовные потребности, и его профессиональный характер определяется уровнем квалификации, мастерства, подготовки и источником дохода.</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В современных условиях увеличивается потребность государственной службы в профессионально подготовленных и компетентных кадрах. Однако многие сотрудники, пришедшие из других сфер, испытывают недостаток профессиональных знаний и умений, а также не имеют сформированного чувства ответственности. Это приводит к низкой мотивации к выполнению профессиональных задач и снижает </w:t>
      </w:r>
      <w:r w:rsidRPr="00135698">
        <w:rPr>
          <w:rFonts w:eastAsiaTheme="minorHAnsi"/>
          <w:sz w:val="28"/>
          <w:szCs w:val="28"/>
          <w:lang w:eastAsia="en-US"/>
        </w:rPr>
        <w:lastRenderedPageBreak/>
        <w:t>психологическую готовность к работе, вызывая барьеры и неудовлетворенность трудом.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В современных условиях ключевую роль играет мотивация профессиональной деятельности, являющаяся важным компонентом её успешности. Исследования (Асеев В.Г., Анцыферова А.И., Орлов Ю.М. и др.) показывают, что мотивация формируется на основе профессиональных ценностей. Поэтому важно изучить ценности современных государственных служащих и их связь с мотивами профессиональной деятельности. В данной работе предпринята попытка исследовать взаимосвязь между мотивацией и ценностями государственных гражданских служащих.</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Мотив — это ключевое понятие для описания и анализа побуждений субъекта к деятельности, отражающее содержание потребности, ради удовлетворения которой осуществляется активная деятельность с определенными целями и условиями. </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К проблемам мотивации обратился американский ученый У. Джемс, ставший одним из первых, кто заявил о психологии личности. Он ввел понятие «Я», охватывающее разнообразные потребности, самооценку и чувства человека. Г. Мюррей инициировал современные экспериментальные исследования мотивации, выделив концепцию «потребностей». А. Маслоу утверждает, что все мотивы имеют инстинктивную природу, но их актуализация зависит от удовлетворения потребностей более низкого уровня. Маслоу делит потребности на нужды и потребности роста, последние занимают более высокое положение в иерархии (включая потребности уважения, самоуважения и самореализации).</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Во второй половине XX века теории потребностей человека были дополнены мотивационными концепциями, представленными в работах таких авторов, как Д. Макклелланд, Д. Аткинсон и Г. Хекхаузен. Эти теории имеют ряд общих положений:</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а) большинство из них отвергает возможность создания универсальной теории мотивации, объясняющей поведение как животных, так и человека;</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б) они подчеркивают, что стремление снять напряжение не является основным источником целенаправленного поведения у человека;</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lastRenderedPageBreak/>
        <w:t>в) утверждается, что человек изначально активен, и его источники активности находятся в психологии самого человека;</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г) признается значительная роль сознания в формировании поведения, где сознательная регуляция выступает ведущим механизмом;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д) введены специфические понятия, отражающие особенности человеческой мотивации, такие как «социальные потребности» и «жизненные цели»;</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е) разработаны методы изучения мотивации, специфические для человека, подчеркивающие неприемлемость методов, используемых для изучения поведения животных.</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Наиболее известными содержательными теориями мотивации являются теории А. Маслоу, Д. Мак-Клелланда и Ф. Герцберга. Теория Ф. Герцберга, разработанная в 1950-х годах, положила начало исследованиям в области менеджмента. Герцберг, американский психолог, изучал организацию труда и внес значительный вклад в управление бизнесом. Он ввел понятие двухфакторной теории мотивации, утверждая, что предоставление сотрудникам приемлемых условий труда недостаточно для успешного управления; для эффективного выполнения обязанностей необходима мотивация.</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Одной из ключевых задач государственного управления является создание эффективной системы мотивации и повышение профессионализма служащих. Выявление ценностных ориентаций и мотивов государственных служащих связано с требованиями и противоречиями в управлении социально-экономическими процессами в России.</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Понятие ценностных ориентаций было введено в социальную психологию и социологию, где оно соотносится с философским понятием системы ценностей. Разграничение между науками происходит по параметрам «общее — индивидуальное» и «реально действующее — рефлекторно-сознаваемое».</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Ценности и нормы поведения являются важными элементами трудовой мотивации гражданских служащих. Рассмотрение ценностей как мотиваторов профессиональной деятельности государственных служащих является актуальным и представляет научный интерес. Ценности — это базовые представления о том, что </w:t>
      </w:r>
      <w:r w:rsidRPr="00135698">
        <w:rPr>
          <w:rFonts w:eastAsiaTheme="minorHAnsi"/>
          <w:sz w:val="28"/>
          <w:szCs w:val="28"/>
          <w:lang w:eastAsia="en-US"/>
        </w:rPr>
        <w:lastRenderedPageBreak/>
        <w:t>считается предпочтительным, отражая нравственные установки индивида и осознанный или интуитивный выбор того, что для него важно.</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Ценностно-мотивационная сфера личности рассматривается в работах отечественных психологов (В.Г. Асеев, А.И. Анцыферова, Ю.М. Орлов) с акцентом на удовлетворение потребностей, жизненные цели и психологические регуляции, а также на активное отношение к действительности. Ценности связывают культуру организации с индивидуальным бытием и отражаются в ценностных ориентациях личности.</w:t>
      </w:r>
    </w:p>
    <w:p w:rsidR="00135698" w:rsidRPr="00135698" w:rsidRDefault="006B431B" w:rsidP="00135698">
      <w:pPr>
        <w:spacing w:line="360" w:lineRule="auto"/>
        <w:ind w:firstLine="709"/>
        <w:jc w:val="both"/>
        <w:rPr>
          <w:rFonts w:eastAsiaTheme="minorHAnsi"/>
          <w:sz w:val="28"/>
          <w:szCs w:val="28"/>
          <w:lang w:eastAsia="en-US"/>
        </w:rPr>
      </w:pPr>
      <w:r>
        <w:rPr>
          <w:rFonts w:eastAsiaTheme="minorHAnsi"/>
          <w:sz w:val="28"/>
          <w:szCs w:val="28"/>
          <w:lang w:eastAsia="en-US"/>
        </w:rPr>
        <w:t>Например</w:t>
      </w:r>
      <w:r w:rsidR="00135698" w:rsidRPr="00135698">
        <w:rPr>
          <w:rFonts w:eastAsiaTheme="minorHAnsi"/>
          <w:sz w:val="28"/>
          <w:szCs w:val="28"/>
          <w:lang w:eastAsia="en-US"/>
        </w:rPr>
        <w:t>Д.А. Леонтьев выделяет три формы существования ценностей:</w:t>
      </w:r>
    </w:p>
    <w:p w:rsidR="00135698" w:rsidRPr="00135698" w:rsidRDefault="00135698" w:rsidP="00135698">
      <w:pPr>
        <w:numPr>
          <w:ilvl w:val="0"/>
          <w:numId w:val="1"/>
        </w:numPr>
        <w:spacing w:after="160" w:line="360" w:lineRule="auto"/>
        <w:jc w:val="both"/>
        <w:rPr>
          <w:rFonts w:eastAsiaTheme="minorHAnsi"/>
          <w:sz w:val="28"/>
          <w:szCs w:val="28"/>
          <w:lang w:eastAsia="en-US"/>
        </w:rPr>
      </w:pPr>
      <w:r w:rsidRPr="00135698">
        <w:rPr>
          <w:rFonts w:eastAsiaTheme="minorHAnsi"/>
          <w:sz w:val="28"/>
          <w:szCs w:val="28"/>
          <w:lang w:eastAsia="en-US"/>
        </w:rPr>
        <w:t>общественные идеалы — обобщенные представления о совершенстве в различных сферах жизни, выработанные общественным сознанием;</w:t>
      </w:r>
    </w:p>
    <w:p w:rsidR="00135698" w:rsidRPr="00135698" w:rsidRDefault="00135698" w:rsidP="00135698">
      <w:pPr>
        <w:numPr>
          <w:ilvl w:val="0"/>
          <w:numId w:val="1"/>
        </w:numPr>
        <w:spacing w:after="160" w:line="360" w:lineRule="auto"/>
        <w:jc w:val="both"/>
        <w:rPr>
          <w:rFonts w:eastAsiaTheme="minorHAnsi"/>
          <w:sz w:val="28"/>
          <w:szCs w:val="28"/>
          <w:lang w:eastAsia="en-US"/>
        </w:rPr>
      </w:pPr>
      <w:r w:rsidRPr="00135698">
        <w:rPr>
          <w:rFonts w:eastAsiaTheme="minorHAnsi"/>
          <w:sz w:val="28"/>
          <w:szCs w:val="28"/>
          <w:lang w:eastAsia="en-US"/>
        </w:rPr>
        <w:t>предметное воплощение этих идеалов в деяниях или произведениях конкретных людей;</w:t>
      </w:r>
    </w:p>
    <w:p w:rsidR="00135698" w:rsidRPr="00135698" w:rsidRDefault="00135698" w:rsidP="00135698">
      <w:pPr>
        <w:numPr>
          <w:ilvl w:val="0"/>
          <w:numId w:val="1"/>
        </w:numPr>
        <w:spacing w:after="160" w:line="360" w:lineRule="auto"/>
        <w:jc w:val="both"/>
        <w:rPr>
          <w:rFonts w:eastAsiaTheme="minorHAnsi"/>
          <w:sz w:val="28"/>
          <w:szCs w:val="28"/>
          <w:lang w:eastAsia="en-US"/>
        </w:rPr>
      </w:pPr>
      <w:r w:rsidRPr="00135698">
        <w:rPr>
          <w:rFonts w:eastAsiaTheme="minorHAnsi"/>
          <w:sz w:val="28"/>
          <w:szCs w:val="28"/>
          <w:lang w:eastAsia="en-US"/>
        </w:rPr>
        <w:t>мотивационные структуры личности («модели должного»), побуждающие к реализации общественных ценностных идеалов в поведении и деятельности.</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Ценности представляют собой продукт социальной жизнедеятельности групп и человечества в целом. Проходя через призму социальной активности, они интегрируются в психологическую структуру личности как личностные ценности, которые служат одним из источников мотивации поведения. </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Исследование взаимосвязи мотивации и ценностных ориентаций государственных гражданских служащих проводилось в администрации г. Благовещенска, правительстве Амурской области, Управлении Федерального казначейства и Амурском областном суде. Участниками стали 35 ведущих специалистов (11 женщин и 24 мужчины) в возрасте 28-39 лет с стажем работы 3-7 лет.</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Цель исследования — изучение взаимосвязи мотивации и ценностей государственных служащих. </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lastRenderedPageBreak/>
        <w:t>Для изучения мотивации использовалась методика Ф. Герцберга, а для выявления ценностей — «Ценностный опросник» Ш. Шварца с двумя видами ценностей. Взаимосвязь оценивалась с помощью ранговой корреляции Ч. Спирмена.</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Результаты теста Герцберга показали, что наиболее распространенным мотивом (31,4%) является «Ответственность», отражающая внутреннее стремление и важность задач. Ответственность способствует эффективной работе и пониманию обязанностей. Вторым наиболее распространённым мотивом (22,9%) является «Достижения», что указывает на стремление сотрудников к успеху и самоутверждению, особенно в конкурентной среде.</w:t>
      </w:r>
    </w:p>
    <w:p w:rsidR="00135698" w:rsidRPr="00135698" w:rsidRDefault="00135698" w:rsidP="00135698">
      <w:pPr>
        <w:spacing w:line="360" w:lineRule="auto"/>
        <w:ind w:firstLine="709"/>
        <w:jc w:val="both"/>
        <w:rPr>
          <w:rFonts w:eastAsiaTheme="minorHAnsi"/>
          <w:sz w:val="28"/>
          <w:szCs w:val="28"/>
          <w:lang w:eastAsia="en-US"/>
        </w:rPr>
      </w:pPr>
      <w:r w:rsidRPr="00135698">
        <w:rPr>
          <w:rFonts w:asciiTheme="minorHAnsi" w:eastAsiaTheme="minorHAnsi" w:hAnsiTheme="minorHAnsi" w:cstheme="minorBidi"/>
          <w:noProof/>
          <w:sz w:val="22"/>
          <w:szCs w:val="22"/>
        </w:rPr>
        <w:drawing>
          <wp:inline distT="0" distB="0" distL="0" distR="0" wp14:anchorId="1059041F" wp14:editId="41FFC0C0">
            <wp:extent cx="5619750" cy="2876550"/>
            <wp:effectExtent l="0" t="0" r="0" b="0"/>
            <wp:docPr id="2" name="Диаграмма 2">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xmlns:arto="http://schemas.microsoft.com/office/word/2006/arto"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35698" w:rsidRPr="00135698" w:rsidRDefault="00135698" w:rsidP="00135698">
      <w:pPr>
        <w:spacing w:line="360" w:lineRule="auto"/>
        <w:ind w:firstLine="709"/>
        <w:jc w:val="both"/>
        <w:rPr>
          <w:rFonts w:eastAsiaTheme="minorHAnsi"/>
          <w:i/>
          <w:sz w:val="28"/>
          <w:szCs w:val="28"/>
          <w:lang w:eastAsia="en-US"/>
        </w:rPr>
      </w:pPr>
      <w:r w:rsidRPr="00135698">
        <w:rPr>
          <w:rFonts w:eastAsiaTheme="minorHAnsi"/>
          <w:i/>
          <w:sz w:val="28"/>
          <w:szCs w:val="28"/>
          <w:lang w:eastAsia="en-US"/>
        </w:rPr>
        <w:t>Рисунок 1 – Результаты диагностики мотивов профессиональной деятельности государственных гражданских служащих.</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Среди опрошенных 17,1 % имеют мотивацию «Признание и вознаграждение», стремясь к самоутверждению и ожидая признания своих заслуг. У 14,3 % выявлены такие основные мотивы, как «Финансовые мотивы», «Карьера» и «Содержание работы». У четверти респондентов «Финансовые мотивы» и «Карьера» совместно выступают как ведущие. Люди с финансовой мотивацией ориентированы на увеличение благосостояния, рассматривая деньги как цель сами по себе. Мотив «Карьера» подразумевает желание продвижения, а «Содержание работы» говорит о важности интересного содержания деятельности, что может привести к потере интереса при отсутствии увлечения процессом.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lastRenderedPageBreak/>
        <w:t>Ориентация 8,6 % респондентов на «Сотрудничество» в профессиональной деятельности указывает на корпоративную мотивацию. Мотив «Отношения с руководством» значим лишь для 2,9 % опрошенных. Возможно, «Финансовые мотивы» не считаются значительными, так как для некоторых стабильность уже означает успех, а для других удовлетворение профессиональной деятельности связано скорее с моральным признанием.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 xml:space="preserve">Таким образом, ведущими мотивами для государственных служащих являются «Ответственность» и «Достижения», часто в сочетании с «Карьерой», «Финансовыми мотивами» и «Признанием». </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Исследование ценностей респондентов с использованием методики Ш. Шварца показало, что ведущей ценностью на нормативном (31,7 %) и индивидуальном уровнях (37,4 %) является «Гедонизм». Ценность «Достижения» актуальна для 17,1 % на нормативном и 5,6 % на индивидуальном уровне, указывая на стремление к личному успеху. Ценность «Конформность» важна для 17,1 % на нормативном уровне и 14,3 % на индивидуальном. «Универсализм» выявлен у 8,6 % респондентов на нормативном уровне, но не на индивидуальном.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noProof/>
          <w:sz w:val="28"/>
          <w:szCs w:val="28"/>
        </w:rPr>
        <w:drawing>
          <wp:inline distT="0" distB="0" distL="0" distR="0" wp14:anchorId="0B925507" wp14:editId="07D4A7C4">
            <wp:extent cx="5736590" cy="31153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6590" cy="3115310"/>
                    </a:xfrm>
                    <a:prstGeom prst="rect">
                      <a:avLst/>
                    </a:prstGeom>
                    <a:noFill/>
                  </pic:spPr>
                </pic:pic>
              </a:graphicData>
            </a:graphic>
          </wp:inline>
        </w:drawing>
      </w:r>
    </w:p>
    <w:p w:rsidR="00135698" w:rsidRPr="00135698" w:rsidRDefault="00135698" w:rsidP="00135698">
      <w:pPr>
        <w:widowControl w:val="0"/>
        <w:spacing w:line="360" w:lineRule="auto"/>
        <w:ind w:firstLine="709"/>
        <w:jc w:val="both"/>
        <w:rPr>
          <w:rFonts w:eastAsia="Calibri"/>
          <w:i/>
          <w:sz w:val="28"/>
          <w:szCs w:val="28"/>
          <w:lang w:eastAsia="en-US"/>
        </w:rPr>
      </w:pPr>
      <w:r w:rsidRPr="00135698">
        <w:rPr>
          <w:rFonts w:eastAsia="Calibri"/>
          <w:i/>
          <w:sz w:val="28"/>
          <w:szCs w:val="28"/>
          <w:lang w:eastAsia="en-US"/>
        </w:rPr>
        <w:t>Рисунок 2 – Результаты диагностики нормативных ценностей государственных гражданских служащих.</w:t>
      </w:r>
    </w:p>
    <w:p w:rsidR="00135698" w:rsidRPr="00135698" w:rsidRDefault="00135698" w:rsidP="00135698">
      <w:pPr>
        <w:widowControl w:val="0"/>
        <w:spacing w:line="360" w:lineRule="auto"/>
        <w:ind w:firstLine="709"/>
        <w:jc w:val="both"/>
        <w:rPr>
          <w:rFonts w:eastAsia="Calibri"/>
          <w:sz w:val="28"/>
          <w:szCs w:val="28"/>
          <w:lang w:eastAsia="en-US"/>
        </w:rPr>
      </w:pPr>
      <w:r w:rsidRPr="00135698">
        <w:rPr>
          <w:rFonts w:eastAsiaTheme="minorHAnsi"/>
          <w:sz w:val="28"/>
          <w:szCs w:val="28"/>
          <w:lang w:eastAsia="en-US"/>
        </w:rPr>
        <w:t xml:space="preserve">Ценность «Традиции» на нормативном уровне присуща 2,9 % респондентов и </w:t>
      </w:r>
      <w:r w:rsidRPr="00135698">
        <w:rPr>
          <w:rFonts w:eastAsiaTheme="minorHAnsi"/>
          <w:sz w:val="28"/>
          <w:szCs w:val="28"/>
          <w:lang w:eastAsia="en-US"/>
        </w:rPr>
        <w:lastRenderedPageBreak/>
        <w:t>выражается в уважении к культурным обычаям и ритуалам. Эта ценность символизирует групповой солидарность и гарантирует выживание. На индивидуальном уровне «Традиции» также ценны для 2,9 % участников.</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«Доброта» выявлена у 2,9 % опрошенных на индивидуальном уровне. Она основана на доброжелательности и направлена на создание благоприятных условий в взаимодействии с близкими. Люди с этой ценностью стремятся сохранить благополучие окружающих.</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Ценность «Самостоятельность» на нормативном уровне характерна для 11,3 % испытуемых. Её цель — независимое мышление и исследовательская активность, а также потребность в самоконтроле. На индивидуальном уровне самостоятельность выявлена у 17,1 % респондентов.</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Ценность «Стимуляция» обнаружена у 14,3 % участников на индивидуальном уровне и связана с потребностью в новизне и разнообразии. На нормативном уровне она является ведущей для 5,6 % респондентов.</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Ценность «Власть» на индивидуальном уровне присуща 5,6 % опрошенных. Главная цель — достижение социального статуса и контроля. На нормативном уровне эта ценность является ведущей для 2,9 % респондентов.</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Ценность «Безопасность» выявлена лишь у 2,9% испытуемых на нормативном уровне. Основной мотивацией для таких сотрудников является обеспечение безопасности для себя и других, а также гармония в обществе. Ш. Шварц считает, что ценность «Безопасность» является универсальной и включает коллективные аспекты, такие как социальный порядок и здоровье.</w:t>
      </w:r>
    </w:p>
    <w:p w:rsidR="00135698" w:rsidRPr="00135698" w:rsidRDefault="00135698" w:rsidP="00135698">
      <w:pPr>
        <w:spacing w:line="360" w:lineRule="auto"/>
        <w:ind w:firstLine="709"/>
        <w:jc w:val="both"/>
        <w:rPr>
          <w:rFonts w:eastAsiaTheme="minorHAnsi"/>
          <w:sz w:val="28"/>
          <w:szCs w:val="28"/>
          <w:lang w:eastAsia="en-US"/>
        </w:rPr>
      </w:pPr>
      <w:r w:rsidRPr="00135698">
        <w:rPr>
          <w:rFonts w:asciiTheme="minorHAnsi" w:eastAsiaTheme="minorHAnsi" w:hAnsiTheme="minorHAnsi" w:cstheme="minorBidi"/>
          <w:noProof/>
          <w:sz w:val="22"/>
          <w:szCs w:val="22"/>
        </w:rPr>
        <w:lastRenderedPageBreak/>
        <w:drawing>
          <wp:inline distT="0" distB="0" distL="0" distR="0" wp14:anchorId="0434C2DA" wp14:editId="7723E4F5">
            <wp:extent cx="5729605" cy="2847975"/>
            <wp:effectExtent l="0" t="0" r="4445" b="0"/>
            <wp:docPr id="5" name="Диаграмма 5">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xmlns:arto="http://schemas.microsoft.com/office/word/2006/arto"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35698" w:rsidRPr="00135698" w:rsidRDefault="00135698" w:rsidP="00135698">
      <w:pPr>
        <w:widowControl w:val="0"/>
        <w:spacing w:line="360" w:lineRule="auto"/>
        <w:ind w:firstLine="709"/>
        <w:jc w:val="both"/>
        <w:rPr>
          <w:rFonts w:eastAsia="Calibri"/>
          <w:i/>
          <w:sz w:val="28"/>
          <w:szCs w:val="28"/>
          <w:lang w:eastAsia="en-US"/>
        </w:rPr>
      </w:pPr>
      <w:r w:rsidRPr="00135698">
        <w:rPr>
          <w:rFonts w:eastAsia="Calibri"/>
          <w:i/>
          <w:sz w:val="28"/>
          <w:szCs w:val="28"/>
          <w:lang w:eastAsia="en-US"/>
        </w:rPr>
        <w:t>Рисунок 3 – Результаты диагностики индивидуальных ценностей государственных гражданских служащих</w:t>
      </w:r>
    </w:p>
    <w:p w:rsidR="00135698" w:rsidRPr="00135698" w:rsidRDefault="00135698" w:rsidP="00135698">
      <w:pPr>
        <w:widowControl w:val="0"/>
        <w:spacing w:line="360" w:lineRule="auto"/>
        <w:ind w:firstLine="709"/>
        <w:jc w:val="both"/>
        <w:rPr>
          <w:rFonts w:eastAsia="Calibri"/>
          <w:i/>
          <w:sz w:val="28"/>
          <w:szCs w:val="28"/>
          <w:lang w:eastAsia="en-US"/>
        </w:rPr>
      </w:pPr>
      <w:r w:rsidRPr="00135698">
        <w:rPr>
          <w:rFonts w:eastAsiaTheme="minorHAnsi"/>
          <w:sz w:val="28"/>
          <w:szCs w:val="28"/>
          <w:lang w:eastAsia="en-US"/>
        </w:rPr>
        <w:t>Важно отметить, что результаты опросников могут не совпадать, так как ценностные ориентации на уровне нормативных идеалов не всегда отражаются в поведении из-за группового давления и традиций. Корреляционный анализ показал значимые отрицательные взаимосвязи между мотивами профессиональной деятельности и ценностями госслужащих. Например, с ростом мотива «Признание и вознаграждение» снижается значимость ценностей «Традиция» (r = -0,445), «Самостоятельность» (r = -0,415), «Гедонизм» (r = -0,499) и «Безопасность» (r = -0,504).</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На основании исследования можно выделить несколько ключевых выводов:</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Наиболее распространенным мотивом среди респондентов является «Ответственность», за ним следует «Достижения». Мотив «Отношения с руководством» менее значим.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Ведущей ценностью на обоих уровнях является «Гедонизм», в то время как «Доброта» и «Безопасность» имеют низкую значимость.</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Обратные взаимосвязи наблюдаются между мотивом «Признание и вознаграждение» и ценностями «Традиция», «Самостоятельность», «Безопасность» и «Гедонизм», а также между ценностью «Достижения» и тем же мотивом.</w:t>
      </w:r>
    </w:p>
    <w:p w:rsidR="00135698" w:rsidRP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lastRenderedPageBreak/>
        <w:t>В результате проведённого исследования подтверждены важные взаимосвязи между мотивацией и ценностями государственных гражданских служащих. Основные мотивы, такие как «Ответственность» и «Достижения», обозначают направление профессиональной деятельности и подчеркивают значимость внутренних установок сотрудников. Ведущая ценность «Гедонизм» свидетельствует о стремлении к личному и профессиональному комфорту, однако низкая значимость таких ценностей, как «Доброта» и «Безопасность», указывает на потенциальные проблемы в области социальной ответственности служащих.</w:t>
      </w:r>
    </w:p>
    <w:p w:rsidR="00135698" w:rsidRDefault="00135698" w:rsidP="00135698">
      <w:pPr>
        <w:spacing w:line="360" w:lineRule="auto"/>
        <w:ind w:firstLine="709"/>
        <w:jc w:val="both"/>
        <w:rPr>
          <w:rFonts w:eastAsiaTheme="minorHAnsi"/>
          <w:sz w:val="28"/>
          <w:szCs w:val="28"/>
          <w:lang w:eastAsia="en-US"/>
        </w:rPr>
      </w:pPr>
      <w:r w:rsidRPr="00135698">
        <w:rPr>
          <w:rFonts w:eastAsiaTheme="minorHAnsi"/>
          <w:sz w:val="28"/>
          <w:szCs w:val="28"/>
          <w:lang w:eastAsia="en-US"/>
        </w:rPr>
        <w:t>Данные результаты подчеркивают необходимость дальнейшего изучения ценностно-мотивационной сферы в контексте эффективного государственного управления. Учитывая выявленные отрицательные взаимосвязи между мотивами и ценностями, важно разработать стратегии, способствующие гармонизации этих аспектов. Таким образом, создание условий для повышения мотивации и формирования значимых ценностей может способствовать не только профессиональному развитию служащих, но и увеличению общей эффективности работы государственной службы</w:t>
      </w:r>
      <w:r w:rsidR="00EF6F6E">
        <w:rPr>
          <w:rFonts w:eastAsiaTheme="minorHAnsi"/>
          <w:sz w:val="28"/>
          <w:szCs w:val="28"/>
          <w:lang w:eastAsia="en-US"/>
        </w:rPr>
        <w:t>.</w:t>
      </w:r>
    </w:p>
    <w:p w:rsidR="00EF6F6E" w:rsidRDefault="00EF6F6E" w:rsidP="00135698">
      <w:pPr>
        <w:spacing w:line="360" w:lineRule="auto"/>
        <w:ind w:firstLine="709"/>
        <w:jc w:val="both"/>
        <w:rPr>
          <w:rFonts w:eastAsiaTheme="minorHAnsi"/>
          <w:sz w:val="28"/>
          <w:szCs w:val="28"/>
          <w:lang w:eastAsia="en-US"/>
        </w:rPr>
      </w:pPr>
    </w:p>
    <w:p w:rsidR="00B03632" w:rsidRDefault="00B03632" w:rsidP="00135698">
      <w:pPr>
        <w:spacing w:line="360" w:lineRule="auto"/>
        <w:ind w:firstLine="709"/>
        <w:jc w:val="both"/>
        <w:rPr>
          <w:rFonts w:eastAsiaTheme="minorHAnsi"/>
          <w:color w:val="000000" w:themeColor="text1"/>
          <w:sz w:val="28"/>
          <w:szCs w:val="28"/>
          <w:lang w:eastAsia="en-US"/>
        </w:rPr>
      </w:pPr>
    </w:p>
    <w:p w:rsidR="006B431B" w:rsidRDefault="006B431B" w:rsidP="00B03632">
      <w:pPr>
        <w:spacing w:line="360" w:lineRule="auto"/>
        <w:ind w:firstLine="709"/>
        <w:jc w:val="center"/>
        <w:rPr>
          <w:rFonts w:eastAsiaTheme="minorHAnsi"/>
          <w:color w:val="000000" w:themeColor="text1"/>
          <w:sz w:val="28"/>
          <w:szCs w:val="28"/>
          <w:lang w:eastAsia="en-US"/>
        </w:rPr>
      </w:pPr>
    </w:p>
    <w:p w:rsidR="006B431B" w:rsidRDefault="006B431B" w:rsidP="00B03632">
      <w:pPr>
        <w:spacing w:line="360" w:lineRule="auto"/>
        <w:ind w:firstLine="709"/>
        <w:jc w:val="center"/>
        <w:rPr>
          <w:rFonts w:eastAsiaTheme="minorHAnsi"/>
          <w:color w:val="000000" w:themeColor="text1"/>
          <w:sz w:val="28"/>
          <w:szCs w:val="28"/>
          <w:lang w:eastAsia="en-US"/>
        </w:rPr>
      </w:pPr>
    </w:p>
    <w:p w:rsidR="006B431B" w:rsidRDefault="006B431B" w:rsidP="00B03632">
      <w:pPr>
        <w:spacing w:line="360" w:lineRule="auto"/>
        <w:ind w:firstLine="709"/>
        <w:jc w:val="center"/>
        <w:rPr>
          <w:rFonts w:eastAsiaTheme="minorHAnsi"/>
          <w:color w:val="000000" w:themeColor="text1"/>
          <w:sz w:val="28"/>
          <w:szCs w:val="28"/>
          <w:lang w:eastAsia="en-US"/>
        </w:rPr>
      </w:pPr>
    </w:p>
    <w:p w:rsidR="006B431B" w:rsidRDefault="006B431B"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896407" w:rsidRDefault="00896407" w:rsidP="00B03632">
      <w:pPr>
        <w:spacing w:line="360" w:lineRule="auto"/>
        <w:ind w:firstLine="709"/>
        <w:jc w:val="center"/>
        <w:rPr>
          <w:rFonts w:eastAsiaTheme="minorHAnsi"/>
          <w:color w:val="000000" w:themeColor="text1"/>
          <w:sz w:val="28"/>
          <w:szCs w:val="28"/>
          <w:lang w:eastAsia="en-US"/>
        </w:rPr>
      </w:pPr>
    </w:p>
    <w:p w:rsidR="00B03632" w:rsidRDefault="00B03632" w:rsidP="00B03632">
      <w:pPr>
        <w:spacing w:line="360" w:lineRule="auto"/>
        <w:ind w:firstLine="709"/>
        <w:jc w:val="center"/>
        <w:rPr>
          <w:rFonts w:eastAsiaTheme="minorHAnsi"/>
          <w:color w:val="000000" w:themeColor="text1"/>
          <w:sz w:val="28"/>
          <w:szCs w:val="28"/>
          <w:lang w:eastAsia="en-US"/>
        </w:rPr>
      </w:pPr>
      <w:bookmarkStart w:id="0" w:name="_GoBack"/>
      <w:bookmarkEnd w:id="0"/>
      <w:r>
        <w:rPr>
          <w:rFonts w:eastAsiaTheme="minorHAnsi"/>
          <w:color w:val="000000" w:themeColor="text1"/>
          <w:sz w:val="28"/>
          <w:szCs w:val="28"/>
          <w:lang w:eastAsia="en-US"/>
        </w:rPr>
        <w:lastRenderedPageBreak/>
        <w:t>БИБЛИОГРАФИЧЕСКИЙ СПИСОК</w:t>
      </w:r>
    </w:p>
    <w:p w:rsidR="00B03632" w:rsidRDefault="00B03632" w:rsidP="00B03632">
      <w:pPr>
        <w:spacing w:line="360" w:lineRule="auto"/>
        <w:ind w:firstLine="709"/>
        <w:jc w:val="center"/>
        <w:rPr>
          <w:rFonts w:eastAsiaTheme="minorHAnsi"/>
          <w:color w:val="000000" w:themeColor="text1"/>
          <w:sz w:val="28"/>
          <w:szCs w:val="28"/>
          <w:lang w:eastAsia="en-US"/>
        </w:rPr>
      </w:pPr>
    </w:p>
    <w:p w:rsidR="00B03632" w:rsidRPr="00B03632" w:rsidRDefault="00B03632" w:rsidP="00135698">
      <w:pPr>
        <w:spacing w:line="360" w:lineRule="auto"/>
        <w:ind w:firstLine="709"/>
        <w:jc w:val="both"/>
        <w:rPr>
          <w:rFonts w:eastAsiaTheme="minorHAnsi"/>
          <w:color w:val="000000" w:themeColor="text1"/>
          <w:sz w:val="28"/>
          <w:szCs w:val="28"/>
          <w:lang w:val="en-US" w:eastAsia="en-US"/>
        </w:rPr>
      </w:pPr>
      <w:r w:rsidRPr="00B03632">
        <w:rPr>
          <w:rFonts w:eastAsiaTheme="minorHAnsi"/>
          <w:color w:val="000000" w:themeColor="text1"/>
          <w:sz w:val="28"/>
          <w:szCs w:val="28"/>
          <w:lang w:eastAsia="en-US"/>
        </w:rPr>
        <w:t xml:space="preserve">1 Бахромов О. Т., Абдурасулов Р. А. Роль ценностей в формировании мотивации // Известия Самарского научного центра Российской академии наук. Социальные, гуманитарные, медико-биологические науки. 2020. </w:t>
      </w:r>
      <w:r w:rsidRPr="00B03632">
        <w:rPr>
          <w:rFonts w:eastAsiaTheme="minorHAnsi"/>
          <w:color w:val="000000" w:themeColor="text1"/>
          <w:sz w:val="28"/>
          <w:szCs w:val="28"/>
          <w:lang w:val="en-US" w:eastAsia="en-US"/>
        </w:rPr>
        <w:t xml:space="preserve">№74. URL: https://cyberleninka.ru/article/n/rol-tsennostey-v-formirovanii-motivatsii </w:t>
      </w:r>
    </w:p>
    <w:p w:rsidR="00B03632" w:rsidRPr="00B03632" w:rsidRDefault="00B03632" w:rsidP="00135698">
      <w:pPr>
        <w:spacing w:line="360" w:lineRule="auto"/>
        <w:ind w:firstLine="709"/>
        <w:jc w:val="both"/>
        <w:rPr>
          <w:rFonts w:eastAsiaTheme="minorHAnsi"/>
          <w:color w:val="000000" w:themeColor="text1"/>
          <w:sz w:val="28"/>
          <w:szCs w:val="28"/>
          <w:lang w:val="en-US" w:eastAsia="en-US"/>
        </w:rPr>
      </w:pPr>
      <w:r w:rsidRPr="00B03632">
        <w:rPr>
          <w:rFonts w:eastAsiaTheme="minorHAnsi"/>
          <w:color w:val="000000" w:themeColor="text1"/>
          <w:sz w:val="28"/>
          <w:szCs w:val="28"/>
          <w:lang w:eastAsia="en-US"/>
        </w:rPr>
        <w:t xml:space="preserve">2 Новиков, А. А. Управление по ценностям и корпоративные ценности в организации // Форум молодых ученых. 2018. №6-2 (22). </w:t>
      </w:r>
      <w:r w:rsidRPr="00B03632">
        <w:rPr>
          <w:rFonts w:eastAsiaTheme="minorHAnsi"/>
          <w:color w:val="000000" w:themeColor="text1"/>
          <w:sz w:val="28"/>
          <w:szCs w:val="28"/>
          <w:lang w:val="en-US" w:eastAsia="en-US"/>
        </w:rPr>
        <w:t xml:space="preserve">URL: </w:t>
      </w:r>
      <w:hyperlink r:id="rId10" w:history="1">
        <w:r w:rsidRPr="00B03632">
          <w:rPr>
            <w:rStyle w:val="aa"/>
            <w:rFonts w:eastAsiaTheme="minorHAnsi"/>
            <w:color w:val="000000" w:themeColor="text1"/>
            <w:sz w:val="28"/>
            <w:szCs w:val="28"/>
            <w:u w:val="none"/>
            <w:lang w:val="en-US" w:eastAsia="en-US"/>
          </w:rPr>
          <w:t>https://cyberleninka.ru/article/n/upravlenie-po-tsennostyam-i-korporativnye-tsennosti-v-organizatsii</w:t>
        </w:r>
      </w:hyperlink>
      <w:r w:rsidRPr="00B03632">
        <w:rPr>
          <w:rFonts w:eastAsiaTheme="minorHAnsi"/>
          <w:color w:val="000000" w:themeColor="text1"/>
          <w:sz w:val="28"/>
          <w:szCs w:val="28"/>
          <w:lang w:val="en-US" w:eastAsia="en-US"/>
        </w:rPr>
        <w:t>.</w:t>
      </w:r>
    </w:p>
    <w:p w:rsidR="00B03632" w:rsidRPr="00B03632" w:rsidRDefault="00B03632" w:rsidP="00135698">
      <w:pPr>
        <w:spacing w:line="360" w:lineRule="auto"/>
        <w:ind w:firstLine="709"/>
        <w:jc w:val="both"/>
        <w:rPr>
          <w:rFonts w:eastAsiaTheme="minorHAnsi"/>
          <w:color w:val="000000" w:themeColor="text1"/>
          <w:sz w:val="28"/>
          <w:szCs w:val="28"/>
          <w:lang w:eastAsia="en-US"/>
        </w:rPr>
      </w:pPr>
      <w:r w:rsidRPr="00B03632">
        <w:rPr>
          <w:rFonts w:eastAsiaTheme="minorHAnsi"/>
          <w:color w:val="000000" w:themeColor="text1"/>
          <w:sz w:val="28"/>
          <w:szCs w:val="28"/>
          <w:lang w:eastAsia="en-US"/>
        </w:rPr>
        <w:t xml:space="preserve">3 Психология служебной деятельности : учебник и практикум для вузов / А. В. Кокурин [и др.] ; под общей редакцией А. В. Кокурина, В. Е. Петрова, В. И. Екимовой, В. М. Позднякова. — Москва : Издательство Юрайт, 2024. — 375 с. — (Высшее образование). — </w:t>
      </w:r>
      <w:r w:rsidRPr="00B03632">
        <w:rPr>
          <w:rFonts w:eastAsiaTheme="minorHAnsi"/>
          <w:color w:val="000000" w:themeColor="text1"/>
          <w:sz w:val="28"/>
          <w:szCs w:val="28"/>
          <w:lang w:val="en-US" w:eastAsia="en-US"/>
        </w:rPr>
        <w:t>ISBN</w:t>
      </w:r>
      <w:r w:rsidRPr="00B03632">
        <w:rPr>
          <w:rFonts w:eastAsiaTheme="minorHAnsi"/>
          <w:color w:val="000000" w:themeColor="text1"/>
          <w:sz w:val="28"/>
          <w:szCs w:val="28"/>
          <w:lang w:eastAsia="en-US"/>
        </w:rPr>
        <w:t xml:space="preserve"> 978-5-534-12931-1. — Текст : электронный // Образовательная платформа Юрайт [сайт]. — </w:t>
      </w:r>
      <w:r w:rsidRPr="00B03632">
        <w:rPr>
          <w:rFonts w:eastAsiaTheme="minorHAnsi"/>
          <w:color w:val="000000" w:themeColor="text1"/>
          <w:sz w:val="28"/>
          <w:szCs w:val="28"/>
          <w:lang w:val="en-US" w:eastAsia="en-US"/>
        </w:rPr>
        <w:t>URL</w:t>
      </w:r>
      <w:r w:rsidRPr="00B03632">
        <w:rPr>
          <w:rFonts w:eastAsiaTheme="minorHAnsi"/>
          <w:color w:val="000000" w:themeColor="text1"/>
          <w:sz w:val="28"/>
          <w:szCs w:val="28"/>
          <w:lang w:eastAsia="en-US"/>
        </w:rPr>
        <w:t xml:space="preserve">: </w:t>
      </w:r>
      <w:hyperlink r:id="rId11" w:history="1">
        <w:r w:rsidRPr="00B03632">
          <w:rPr>
            <w:rStyle w:val="aa"/>
            <w:rFonts w:eastAsiaTheme="minorHAnsi"/>
            <w:color w:val="000000" w:themeColor="text1"/>
            <w:sz w:val="28"/>
            <w:szCs w:val="28"/>
            <w:u w:val="none"/>
            <w:lang w:val="en-US" w:eastAsia="en-US"/>
          </w:rPr>
          <w:t>https</w:t>
        </w:r>
        <w:r w:rsidRPr="00B03632">
          <w:rPr>
            <w:rStyle w:val="aa"/>
            <w:rFonts w:eastAsiaTheme="minorHAnsi"/>
            <w:color w:val="000000" w:themeColor="text1"/>
            <w:sz w:val="28"/>
            <w:szCs w:val="28"/>
            <w:u w:val="none"/>
            <w:lang w:eastAsia="en-US"/>
          </w:rPr>
          <w:t>://</w:t>
        </w:r>
        <w:r w:rsidRPr="00B03632">
          <w:rPr>
            <w:rStyle w:val="aa"/>
            <w:rFonts w:eastAsiaTheme="minorHAnsi"/>
            <w:color w:val="000000" w:themeColor="text1"/>
            <w:sz w:val="28"/>
            <w:szCs w:val="28"/>
            <w:u w:val="none"/>
            <w:lang w:val="en-US" w:eastAsia="en-US"/>
          </w:rPr>
          <w:t>urait</w:t>
        </w:r>
        <w:r w:rsidRPr="00B03632">
          <w:rPr>
            <w:rStyle w:val="aa"/>
            <w:rFonts w:eastAsiaTheme="minorHAnsi"/>
            <w:color w:val="000000" w:themeColor="text1"/>
            <w:sz w:val="28"/>
            <w:szCs w:val="28"/>
            <w:u w:val="none"/>
            <w:lang w:eastAsia="en-US"/>
          </w:rPr>
          <w:t>.</w:t>
        </w:r>
        <w:r w:rsidRPr="00B03632">
          <w:rPr>
            <w:rStyle w:val="aa"/>
            <w:rFonts w:eastAsiaTheme="minorHAnsi"/>
            <w:color w:val="000000" w:themeColor="text1"/>
            <w:sz w:val="28"/>
            <w:szCs w:val="28"/>
            <w:u w:val="none"/>
            <w:lang w:val="en-US" w:eastAsia="en-US"/>
          </w:rPr>
          <w:t>ru</w:t>
        </w:r>
        <w:r w:rsidRPr="00B03632">
          <w:rPr>
            <w:rStyle w:val="aa"/>
            <w:rFonts w:eastAsiaTheme="minorHAnsi"/>
            <w:color w:val="000000" w:themeColor="text1"/>
            <w:sz w:val="28"/>
            <w:szCs w:val="28"/>
            <w:u w:val="none"/>
            <w:lang w:eastAsia="en-US"/>
          </w:rPr>
          <w:t>/</w:t>
        </w:r>
        <w:r w:rsidRPr="00B03632">
          <w:rPr>
            <w:rStyle w:val="aa"/>
            <w:rFonts w:eastAsiaTheme="minorHAnsi"/>
            <w:color w:val="000000" w:themeColor="text1"/>
            <w:sz w:val="28"/>
            <w:szCs w:val="28"/>
            <w:u w:val="none"/>
            <w:lang w:val="en-US" w:eastAsia="en-US"/>
          </w:rPr>
          <w:t>bcode</w:t>
        </w:r>
        <w:r w:rsidRPr="00B03632">
          <w:rPr>
            <w:rStyle w:val="aa"/>
            <w:rFonts w:eastAsiaTheme="minorHAnsi"/>
            <w:color w:val="000000" w:themeColor="text1"/>
            <w:sz w:val="28"/>
            <w:szCs w:val="28"/>
            <w:u w:val="none"/>
            <w:lang w:eastAsia="en-US"/>
          </w:rPr>
          <w:t>/543286</w:t>
        </w:r>
      </w:hyperlink>
    </w:p>
    <w:p w:rsidR="00B03632" w:rsidRPr="00B03632" w:rsidRDefault="00B03632" w:rsidP="00135698">
      <w:pPr>
        <w:spacing w:line="360" w:lineRule="auto"/>
        <w:ind w:firstLine="709"/>
        <w:jc w:val="both"/>
        <w:rPr>
          <w:rFonts w:eastAsiaTheme="minorHAnsi"/>
          <w:color w:val="000000" w:themeColor="text1"/>
          <w:sz w:val="28"/>
          <w:szCs w:val="28"/>
          <w:lang w:eastAsia="en-US"/>
        </w:rPr>
      </w:pPr>
      <w:r w:rsidRPr="00B03632">
        <w:rPr>
          <w:rFonts w:eastAsiaTheme="minorHAnsi"/>
          <w:color w:val="000000" w:themeColor="text1"/>
          <w:sz w:val="28"/>
          <w:szCs w:val="28"/>
          <w:lang w:eastAsia="en-US"/>
        </w:rPr>
        <w:t>4 Херцберг, Ф. Мотивация к работе / Ф. Херцберг, Б. Mocнер, Б. Блох Снидерман // под общ. ред. Е.А. Борисовой. – М.: Вершина, 2007. – 240 с.</w:t>
      </w:r>
    </w:p>
    <w:p w:rsidR="00B03632" w:rsidRPr="00B03632" w:rsidRDefault="00B03632" w:rsidP="00135698">
      <w:pPr>
        <w:spacing w:line="360" w:lineRule="auto"/>
        <w:ind w:firstLine="709"/>
        <w:jc w:val="both"/>
        <w:rPr>
          <w:rFonts w:eastAsiaTheme="minorHAnsi"/>
          <w:color w:val="000000" w:themeColor="text1"/>
          <w:sz w:val="28"/>
          <w:szCs w:val="28"/>
          <w:lang w:eastAsia="en-US"/>
        </w:rPr>
      </w:pPr>
      <w:r w:rsidRPr="00B03632">
        <w:rPr>
          <w:rFonts w:eastAsiaTheme="minorHAnsi"/>
          <w:color w:val="000000" w:themeColor="text1"/>
          <w:sz w:val="28"/>
          <w:szCs w:val="28"/>
          <w:lang w:eastAsia="en-US"/>
        </w:rPr>
        <w:t>5 Шварц, Ш. Уточненная теория базовых индивидуальных ценностей: применение в России / Ш. Шварц [и др.] // Журнал Высшей школы экономи-ки. Психология. – 2012. – Т. 9. – № 1. – С. 43-70.</w:t>
      </w:r>
    </w:p>
    <w:p w:rsidR="001E0F6C" w:rsidRPr="00B03632" w:rsidRDefault="001E0F6C" w:rsidP="00135698">
      <w:pPr>
        <w:spacing w:line="360" w:lineRule="auto"/>
        <w:jc w:val="both"/>
        <w:rPr>
          <w:color w:val="000000" w:themeColor="text1"/>
          <w:sz w:val="22"/>
        </w:rPr>
      </w:pPr>
    </w:p>
    <w:sectPr w:rsidR="001E0F6C" w:rsidRPr="00B03632" w:rsidSect="00135698">
      <w:headerReference w:type="even" r:id="rId12"/>
      <w:footerReference w:type="firs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F1E" w:rsidRDefault="00D63F1E" w:rsidP="003B3606">
      <w:r>
        <w:separator/>
      </w:r>
    </w:p>
  </w:endnote>
  <w:endnote w:type="continuationSeparator" w:id="0">
    <w:p w:rsidR="00D63F1E" w:rsidRDefault="00D63F1E" w:rsidP="003B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B" w:rsidRDefault="00D63F1E" w:rsidP="00DB190C">
    <w:pPr>
      <w:pStyle w:val="a6"/>
      <w:tabs>
        <w:tab w:val="clear" w:pos="4677"/>
        <w:tab w:val="clear" w:pos="9355"/>
        <w:tab w:val="left" w:pos="2748"/>
        <w:tab w:val="left" w:pos="5232"/>
        <w:tab w:val="left" w:pos="5688"/>
      </w:tabs>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F1E" w:rsidRDefault="00D63F1E" w:rsidP="003B3606">
      <w:r>
        <w:separator/>
      </w:r>
    </w:p>
  </w:footnote>
  <w:footnote w:type="continuationSeparator" w:id="0">
    <w:p w:rsidR="00D63F1E" w:rsidRDefault="00D63F1E" w:rsidP="003B3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2FB" w:rsidRDefault="00D63F1E" w:rsidP="00DB190C">
    <w:pPr>
      <w:pStyle w:val="a8"/>
      <w:pBdr>
        <w:bottom w:val="single" w:sz="6" w:space="1" w:color="auto"/>
      </w:pBdr>
      <w:rPr>
        <w:i/>
      </w:rPr>
    </w:pPr>
  </w:p>
  <w:p w:rsidR="007242FB" w:rsidRDefault="00D63F1E" w:rsidP="00DB190C">
    <w:pPr>
      <w:pStyle w:val="a8"/>
      <w:pBdr>
        <w:bottom w:val="single" w:sz="6" w:space="1" w:color="auto"/>
      </w:pBdr>
      <w:rPr>
        <w:i/>
      </w:rPr>
    </w:pPr>
    <w:r>
      <w:rPr>
        <w:i/>
      </w:rPr>
      <w:t>Бокач Сергей Борисович</w:t>
    </w:r>
  </w:p>
  <w:p w:rsidR="007242FB" w:rsidRPr="00C35708" w:rsidRDefault="00D63F1E" w:rsidP="00DB190C">
    <w:pPr>
      <w:pStyle w:val="a8"/>
      <w:pBdr>
        <w:bottom w:val="single" w:sz="6" w:space="1" w:color="auto"/>
      </w:pBdr>
      <w:rPr>
        <w:iCs/>
      </w:rPr>
    </w:pPr>
    <w:r>
      <w:rPr>
        <w:iCs/>
      </w:rPr>
      <w:t>Научный руководит</w:t>
    </w:r>
    <w:r>
      <w:rPr>
        <w:iCs/>
      </w:rPr>
      <w:t>ель: Татьяна Борисовна Чердакова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162F1"/>
    <w:multiLevelType w:val="hybridMultilevel"/>
    <w:tmpl w:val="EC8A1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606"/>
    <w:rsid w:val="00135698"/>
    <w:rsid w:val="001D5AA1"/>
    <w:rsid w:val="001E0F6C"/>
    <w:rsid w:val="00245766"/>
    <w:rsid w:val="002B077B"/>
    <w:rsid w:val="00361FBB"/>
    <w:rsid w:val="003B3606"/>
    <w:rsid w:val="006B431B"/>
    <w:rsid w:val="00896407"/>
    <w:rsid w:val="00B030DB"/>
    <w:rsid w:val="00B03632"/>
    <w:rsid w:val="00C70CB0"/>
    <w:rsid w:val="00D63F1E"/>
    <w:rsid w:val="00E603CF"/>
    <w:rsid w:val="00EF6F6E"/>
    <w:rsid w:val="00FD42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30A495-00FD-47DB-85B8-D8E1D3A83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6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Знак,Текст сноски-FN,Текст сноски Знак1 Знак,Текст сноски Знак Знак Знак,Знак Знак1 Знак,Знак1,Текст сноски Знак1 Знак Знак Знак,Текст сноски Знак Знак Знак Знак Знак,Reference,Footnote Text Ch,Знак Знак Знак Знак Знак,Текст сноски1"/>
    <w:basedOn w:val="a"/>
    <w:link w:val="1"/>
    <w:uiPriority w:val="99"/>
    <w:qFormat/>
    <w:rsid w:val="003B3606"/>
    <w:rPr>
      <w:sz w:val="20"/>
      <w:szCs w:val="20"/>
      <w:lang w:val="x-none" w:eastAsia="x-none"/>
    </w:rPr>
  </w:style>
  <w:style w:type="character" w:customStyle="1" w:styleId="a4">
    <w:name w:val="Текст сноски Знак"/>
    <w:basedOn w:val="a0"/>
    <w:uiPriority w:val="99"/>
    <w:semiHidden/>
    <w:rsid w:val="003B3606"/>
    <w:rPr>
      <w:rFonts w:ascii="Times New Roman" w:eastAsia="Times New Roman" w:hAnsi="Times New Roman" w:cs="Times New Roman"/>
      <w:sz w:val="20"/>
      <w:szCs w:val="20"/>
      <w:lang w:eastAsia="ru-RU"/>
    </w:rPr>
  </w:style>
  <w:style w:type="character" w:styleId="a5">
    <w:name w:val="footnote reference"/>
    <w:aliases w:val="SUPERS"/>
    <w:uiPriority w:val="99"/>
    <w:rsid w:val="003B3606"/>
    <w:rPr>
      <w:vertAlign w:val="superscript"/>
    </w:rPr>
  </w:style>
  <w:style w:type="paragraph" w:styleId="a6">
    <w:name w:val="footer"/>
    <w:basedOn w:val="a"/>
    <w:link w:val="a7"/>
    <w:rsid w:val="003B3606"/>
    <w:pPr>
      <w:tabs>
        <w:tab w:val="center" w:pos="4677"/>
        <w:tab w:val="right" w:pos="9355"/>
      </w:tabs>
    </w:pPr>
    <w:rPr>
      <w:lang w:val="x-none" w:eastAsia="x-none"/>
    </w:rPr>
  </w:style>
  <w:style w:type="character" w:customStyle="1" w:styleId="a7">
    <w:name w:val="Нижний колонтитул Знак"/>
    <w:basedOn w:val="a0"/>
    <w:link w:val="a6"/>
    <w:rsid w:val="003B3606"/>
    <w:rPr>
      <w:rFonts w:ascii="Times New Roman" w:eastAsia="Times New Roman" w:hAnsi="Times New Roman" w:cs="Times New Roman"/>
      <w:sz w:val="24"/>
      <w:szCs w:val="24"/>
      <w:lang w:val="x-none" w:eastAsia="x-none"/>
    </w:rPr>
  </w:style>
  <w:style w:type="paragraph" w:styleId="a8">
    <w:name w:val="header"/>
    <w:basedOn w:val="a"/>
    <w:link w:val="a9"/>
    <w:rsid w:val="003B3606"/>
    <w:pPr>
      <w:tabs>
        <w:tab w:val="center" w:pos="4677"/>
        <w:tab w:val="right" w:pos="9355"/>
      </w:tabs>
    </w:pPr>
    <w:rPr>
      <w:lang w:val="x-none" w:eastAsia="x-none"/>
    </w:rPr>
  </w:style>
  <w:style w:type="character" w:customStyle="1" w:styleId="a9">
    <w:name w:val="Верхний колонтитул Знак"/>
    <w:basedOn w:val="a0"/>
    <w:link w:val="a8"/>
    <w:rsid w:val="003B3606"/>
    <w:rPr>
      <w:rFonts w:ascii="Times New Roman" w:eastAsia="Times New Roman" w:hAnsi="Times New Roman" w:cs="Times New Roman"/>
      <w:sz w:val="24"/>
      <w:szCs w:val="24"/>
      <w:lang w:val="x-none" w:eastAsia="x-none"/>
    </w:rPr>
  </w:style>
  <w:style w:type="character" w:customStyle="1" w:styleId="1">
    <w:name w:val="Текст сноски Знак1"/>
    <w:aliases w:val=" Знак Знак,Знак Знак3,Текст сноски-FN Знак,Текст сноски Знак1 Знак Знак,Текст сноски Знак Знак Знак Знак,Знак Знак1 Знак Знак,Знак1 Знак,Текст сноски Знак1 Знак Знак Знак Знак,Текст сноски Знак Знак Знак Знак Знак Знак,Reference Знак"/>
    <w:link w:val="a3"/>
    <w:uiPriority w:val="99"/>
    <w:rsid w:val="003B3606"/>
    <w:rPr>
      <w:rFonts w:ascii="Times New Roman" w:eastAsia="Times New Roman" w:hAnsi="Times New Roman" w:cs="Times New Roman"/>
      <w:sz w:val="20"/>
      <w:szCs w:val="20"/>
      <w:lang w:val="x-none" w:eastAsia="x-none"/>
    </w:rPr>
  </w:style>
  <w:style w:type="character" w:styleId="aa">
    <w:name w:val="Hyperlink"/>
    <w:basedOn w:val="a0"/>
    <w:uiPriority w:val="99"/>
    <w:unhideWhenUsed/>
    <w:rsid w:val="00B036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1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4328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yberleninka.ru/article/n/upravlenie-po-tsennostyam-i-korporativnye-tsennosti-v-organizatsii"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Лист2!$M$1:$T$1</c:f>
              <c:strCache>
                <c:ptCount val="8"/>
                <c:pt idx="0">
                  <c:v>Финансовые мотивы</c:v>
                </c:pt>
                <c:pt idx="1">
                  <c:v>Признание и вознаграждение</c:v>
                </c:pt>
                <c:pt idx="2">
                  <c:v>Ответственность</c:v>
                </c:pt>
                <c:pt idx="3">
                  <c:v>Отношения с руководством</c:v>
                </c:pt>
                <c:pt idx="4">
                  <c:v>Карьера</c:v>
                </c:pt>
                <c:pt idx="5">
                  <c:v>Достижения</c:v>
                </c:pt>
                <c:pt idx="6">
                  <c:v>Содержание работы</c:v>
                </c:pt>
                <c:pt idx="7">
                  <c:v>Сотрудничество</c:v>
                </c:pt>
              </c:strCache>
            </c:strRef>
          </c:cat>
          <c:val>
            <c:numRef>
              <c:f>Лист2!$M$38:$T$38</c:f>
              <c:numCache>
                <c:formatCode>0.0%</c:formatCode>
                <c:ptCount val="8"/>
                <c:pt idx="0">
                  <c:v>0.14285714285714285</c:v>
                </c:pt>
                <c:pt idx="1">
                  <c:v>0.17142857142857143</c:v>
                </c:pt>
                <c:pt idx="2">
                  <c:v>0.31428571428571428</c:v>
                </c:pt>
                <c:pt idx="3">
                  <c:v>2.8571428571428571E-2</c:v>
                </c:pt>
                <c:pt idx="4">
                  <c:v>0.14285714285714285</c:v>
                </c:pt>
                <c:pt idx="5">
                  <c:v>0.22857142857142856</c:v>
                </c:pt>
                <c:pt idx="6">
                  <c:v>0.14285714285714285</c:v>
                </c:pt>
                <c:pt idx="7">
                  <c:v>8.5714285714285715E-2</c:v>
                </c:pt>
              </c:numCache>
            </c:numRef>
          </c:val>
          <c:extLst xmlns:c16r2="http://schemas.microsoft.com/office/drawing/2015/06/chart">
            <c:ext xmlns:c16="http://schemas.microsoft.com/office/drawing/2014/chart" uri="{C3380CC4-5D6E-409C-BE32-E72D297353CC}">
              <c16:uniqueId val="{00000000-5713-41A1-8AAC-48DC73BDEFB2}"/>
            </c:ext>
          </c:extLst>
        </c:ser>
        <c:dLbls>
          <c:showLegendKey val="0"/>
          <c:showVal val="0"/>
          <c:showCatName val="0"/>
          <c:showSerName val="0"/>
          <c:showPercent val="0"/>
          <c:showBubbleSize val="0"/>
        </c:dLbls>
        <c:gapWidth val="150"/>
        <c:axId val="-1575218928"/>
        <c:axId val="-1575227632"/>
      </c:barChart>
      <c:catAx>
        <c:axId val="-1575218928"/>
        <c:scaling>
          <c:orientation val="minMax"/>
        </c:scaling>
        <c:delete val="0"/>
        <c:axPos val="b"/>
        <c:majorGridlines/>
        <c:numFmt formatCode="General" sourceLinked="0"/>
        <c:majorTickMark val="none"/>
        <c:minorTickMark val="none"/>
        <c:tickLblPos val="low"/>
        <c:spPr>
          <a:ln w="6350">
            <a:noFill/>
          </a:ln>
        </c:spPr>
        <c:crossAx val="-1575227632"/>
        <c:crosses val="autoZero"/>
        <c:auto val="1"/>
        <c:lblAlgn val="ctr"/>
        <c:lblOffset val="100"/>
        <c:tickLblSkip val="1"/>
        <c:noMultiLvlLbl val="0"/>
      </c:catAx>
      <c:valAx>
        <c:axId val="-1575227632"/>
        <c:scaling>
          <c:orientation val="minMax"/>
        </c:scaling>
        <c:delete val="0"/>
        <c:axPos val="l"/>
        <c:majorGridlines/>
        <c:numFmt formatCode="0%" sourceLinked="0"/>
        <c:majorTickMark val="out"/>
        <c:minorTickMark val="none"/>
        <c:tickLblPos val="nextTo"/>
        <c:crossAx val="-1575218928"/>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ln>
              <a:solidFill>
                <a:sysClr val="windowText" lastClr="000000"/>
              </a:solidFill>
            </a:ln>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Лист2!$O$1:$X$1</c:f>
              <c:strCache>
                <c:ptCount val="10"/>
                <c:pt idx="0">
                  <c:v>Конформность </c:v>
                </c:pt>
                <c:pt idx="1">
                  <c:v>Традиции </c:v>
                </c:pt>
                <c:pt idx="2">
                  <c:v>Доброта </c:v>
                </c:pt>
                <c:pt idx="3">
                  <c:v>Универсализм</c:v>
                </c:pt>
                <c:pt idx="4">
                  <c:v>Самостоятельность </c:v>
                </c:pt>
                <c:pt idx="5">
                  <c:v>Стимуляция </c:v>
                </c:pt>
                <c:pt idx="6">
                  <c:v>Гедонизм </c:v>
                </c:pt>
                <c:pt idx="7">
                  <c:v>Достижения</c:v>
                </c:pt>
                <c:pt idx="8">
                  <c:v>Власть </c:v>
                </c:pt>
                <c:pt idx="9">
                  <c:v>Безопасность</c:v>
                </c:pt>
              </c:strCache>
            </c:strRef>
          </c:cat>
          <c:val>
            <c:numRef>
              <c:f>Лист2!$O$38:$X$38</c:f>
              <c:numCache>
                <c:formatCode>0.0%</c:formatCode>
                <c:ptCount val="10"/>
                <c:pt idx="0">
                  <c:v>0.14285714285714285</c:v>
                </c:pt>
                <c:pt idx="1">
                  <c:v>2.8571428571428571E-2</c:v>
                </c:pt>
                <c:pt idx="2">
                  <c:v>2.8571428571428571E-2</c:v>
                </c:pt>
                <c:pt idx="3">
                  <c:v>0</c:v>
                </c:pt>
                <c:pt idx="4">
                  <c:v>0.17142857142857143</c:v>
                </c:pt>
                <c:pt idx="5">
                  <c:v>0.14299999999999999</c:v>
                </c:pt>
                <c:pt idx="6">
                  <c:v>0.374</c:v>
                </c:pt>
                <c:pt idx="7">
                  <c:v>5.6000000000000001E-2</c:v>
                </c:pt>
                <c:pt idx="8">
                  <c:v>5.6000000000000001E-2</c:v>
                </c:pt>
                <c:pt idx="9">
                  <c:v>0</c:v>
                </c:pt>
              </c:numCache>
            </c:numRef>
          </c:val>
          <c:extLst xmlns:c16r2="http://schemas.microsoft.com/office/drawing/2015/06/chart">
            <c:ext xmlns:c16="http://schemas.microsoft.com/office/drawing/2014/chart" uri="{C3380CC4-5D6E-409C-BE32-E72D297353CC}">
              <c16:uniqueId val="{00000000-2A77-4103-9B8E-9998FE412BBE}"/>
            </c:ext>
          </c:extLst>
        </c:ser>
        <c:dLbls>
          <c:showLegendKey val="0"/>
          <c:showVal val="0"/>
          <c:showCatName val="0"/>
          <c:showSerName val="0"/>
          <c:showPercent val="0"/>
          <c:showBubbleSize val="0"/>
        </c:dLbls>
        <c:gapWidth val="150"/>
        <c:axId val="-1575223824"/>
        <c:axId val="-1575218384"/>
      </c:barChart>
      <c:catAx>
        <c:axId val="-1575223824"/>
        <c:scaling>
          <c:orientation val="minMax"/>
        </c:scaling>
        <c:delete val="0"/>
        <c:axPos val="b"/>
        <c:majorGridlines/>
        <c:numFmt formatCode="General" sourceLinked="0"/>
        <c:majorTickMark val="none"/>
        <c:minorTickMark val="none"/>
        <c:tickLblPos val="nextTo"/>
        <c:spPr>
          <a:ln w="6350">
            <a:noFill/>
          </a:ln>
        </c:spPr>
        <c:crossAx val="-1575218384"/>
        <c:crosses val="autoZero"/>
        <c:auto val="1"/>
        <c:lblAlgn val="ctr"/>
        <c:lblOffset val="100"/>
        <c:noMultiLvlLbl val="0"/>
      </c:catAx>
      <c:valAx>
        <c:axId val="-1575218384"/>
        <c:scaling>
          <c:orientation val="minMax"/>
        </c:scaling>
        <c:delete val="0"/>
        <c:axPos val="l"/>
        <c:majorGridlines/>
        <c:numFmt formatCode="0%" sourceLinked="0"/>
        <c:majorTickMark val="out"/>
        <c:minorTickMark val="none"/>
        <c:tickLblPos val="nextTo"/>
        <c:crossAx val="-1575223824"/>
        <c:crosses val="autoZero"/>
        <c:crossBetween val="between"/>
      </c:valAx>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TotalTime>
  <Pages>10</Pages>
  <Words>2238</Words>
  <Characters>12759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3</cp:revision>
  <dcterms:created xsi:type="dcterms:W3CDTF">2024-11-09T03:16:00Z</dcterms:created>
  <dcterms:modified xsi:type="dcterms:W3CDTF">2024-11-09T03:18:00Z</dcterms:modified>
</cp:coreProperties>
</file>