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media/image4.jpeg" ContentType="image/jpeg"/>
  <Override PartName="/word/media/image5.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hanging="0"/>
        <w:rPr>
          <w:sz w:val="24"/>
          <w:szCs w:val="24"/>
        </w:rPr>
      </w:pPr>
      <w:r>
        <w:rPr>
          <w:b/>
          <w:bCs/>
          <w:i/>
          <w:iCs/>
          <w:sz w:val="24"/>
          <w:szCs w:val="24"/>
        </w:rPr>
        <w:t xml:space="preserve"> </w:t>
      </w:r>
      <w:r>
        <w:rPr>
          <w:rFonts w:ascii="Times New Roman" w:hAnsi="Times New Roman"/>
          <w:b/>
          <w:sz w:val="24"/>
          <w:szCs w:val="24"/>
        </w:rPr>
        <w:t>УДК 94(367):929.5</w:t>
      </w:r>
    </w:p>
    <w:p>
      <w:pPr>
        <w:pStyle w:val="Style21"/>
        <w:rPr>
          <w:b/>
          <w:b/>
          <w:sz w:val="22"/>
          <w:szCs w:val="22"/>
        </w:rPr>
      </w:pPr>
      <w:r>
        <w:rPr>
          <w:b/>
          <w:sz w:val="22"/>
          <w:szCs w:val="22"/>
        </w:rPr>
      </w:r>
    </w:p>
    <w:tbl>
      <w:tblPr>
        <w:tblW w:w="9463" w:type="dxa"/>
        <w:jc w:val="left"/>
        <w:tblInd w:w="98" w:type="dxa"/>
        <w:tblLayout w:type="fixed"/>
        <w:tblCellMar>
          <w:top w:w="0" w:type="dxa"/>
          <w:left w:w="108" w:type="dxa"/>
          <w:bottom w:w="0" w:type="dxa"/>
          <w:right w:w="108" w:type="dxa"/>
        </w:tblCellMar>
        <w:tblLook w:val="0000"/>
      </w:tblPr>
      <w:tblGrid>
        <w:gridCol w:w="4724"/>
        <w:gridCol w:w="4738"/>
      </w:tblGrid>
      <w:tr>
        <w:trPr/>
        <w:tc>
          <w:tcPr>
            <w:tcW w:w="4724" w:type="dxa"/>
            <w:tcBorders/>
            <w:shd w:color="auto" w:fill="auto" w:val="clear"/>
          </w:tcPr>
          <w:p>
            <w:pPr>
              <w:pStyle w:val="Style21"/>
              <w:widowControl w:val="false"/>
              <w:spacing w:lineRule="auto" w:line="240" w:before="0" w:after="120"/>
              <w:rPr/>
            </w:pPr>
            <w:r>
              <w:rPr>
                <w:rFonts w:ascii="Times New Roman" w:hAnsi="Times New Roman"/>
                <w:i/>
                <w:sz w:val="24"/>
                <w:szCs w:val="24"/>
              </w:rPr>
              <w:t>Военный учебно-научный центр военно-воздушных сил «</w:t>
            </w:r>
            <w:r>
              <w:rPr>
                <w:rFonts w:ascii="Times New Roman" w:hAnsi="Times New Roman"/>
                <w:bCs/>
                <w:i/>
                <w:sz w:val="24"/>
                <w:szCs w:val="24"/>
                <w:shd w:fill="FFFFFF" w:val="clear"/>
              </w:rPr>
              <w:t>Военно</w:t>
            </w:r>
            <w:r>
              <w:rPr>
                <w:rFonts w:ascii="Times New Roman" w:hAnsi="Times New Roman"/>
                <w:i/>
                <w:sz w:val="24"/>
                <w:szCs w:val="24"/>
                <w:shd w:fill="FFFFFF" w:val="clear"/>
              </w:rPr>
              <w:t>-</w:t>
            </w:r>
            <w:r>
              <w:rPr>
                <w:rFonts w:ascii="Times New Roman" w:hAnsi="Times New Roman"/>
                <w:bCs/>
                <w:i/>
                <w:sz w:val="24"/>
                <w:szCs w:val="24"/>
                <w:shd w:fill="FFFFFF" w:val="clear"/>
              </w:rPr>
              <w:t>воздушная</w:t>
            </w:r>
            <w:r>
              <w:rPr>
                <w:rStyle w:val="Appleconvertedspace"/>
                <w:rFonts w:ascii="Times New Roman" w:hAnsi="Times New Roman"/>
                <w:i/>
                <w:sz w:val="24"/>
                <w:szCs w:val="24"/>
                <w:shd w:fill="FFFFFF" w:val="clear"/>
              </w:rPr>
              <w:t> </w:t>
            </w:r>
            <w:r>
              <w:rPr>
                <w:rFonts w:ascii="Times New Roman" w:hAnsi="Times New Roman"/>
                <w:i/>
                <w:sz w:val="24"/>
                <w:szCs w:val="24"/>
                <w:shd w:fill="FFFFFF" w:val="clear"/>
              </w:rPr>
              <w:t>академия имени профессора Н.Е. Жуковского и</w:t>
            </w:r>
            <w:r>
              <w:rPr>
                <w:rStyle w:val="Appleconvertedspace"/>
                <w:rFonts w:ascii="Times New Roman" w:hAnsi="Times New Roman"/>
                <w:i/>
                <w:sz w:val="24"/>
                <w:szCs w:val="24"/>
                <w:shd w:fill="FFFFFF" w:val="clear"/>
              </w:rPr>
              <w:t> </w:t>
            </w:r>
            <w:r>
              <w:rPr>
                <w:rFonts w:ascii="Times New Roman" w:hAnsi="Times New Roman"/>
                <w:i/>
                <w:sz w:val="24"/>
                <w:szCs w:val="24"/>
                <w:shd w:fill="FFFFFF" w:val="clear"/>
              </w:rPr>
              <w:t xml:space="preserve">Ю.А.Гагарина» Кандидат исторических наук, преподаватель       кафедры гуманитарных и социально-экономических дисциплин                                  С.А.Меганов,                                                         курсант Д.Е. Терещенко                                                                                                Россия, г. Воронеж, тел. (473)277-51-34;               </w:t>
            </w:r>
            <w:r>
              <w:rPr>
                <w:rFonts w:ascii="Times New Roman" w:hAnsi="Times New Roman"/>
                <w:i/>
                <w:sz w:val="24"/>
                <w:szCs w:val="24"/>
                <w:shd w:fill="FFFFFF" w:val="clear"/>
                <w:lang w:val="en-US"/>
              </w:rPr>
              <w:t>e</w:t>
            </w:r>
            <w:r>
              <w:rPr>
                <w:rFonts w:ascii="Times New Roman" w:hAnsi="Times New Roman"/>
                <w:i/>
                <w:sz w:val="24"/>
                <w:szCs w:val="24"/>
                <w:shd w:fill="FFFFFF" w:val="clear"/>
              </w:rPr>
              <w:t>-</w:t>
            </w:r>
            <w:r>
              <w:rPr>
                <w:rFonts w:ascii="Times New Roman" w:hAnsi="Times New Roman"/>
                <w:i/>
                <w:sz w:val="24"/>
                <w:szCs w:val="24"/>
                <w:shd w:fill="FFFFFF" w:val="clear"/>
                <w:lang w:val="en-US"/>
              </w:rPr>
              <w:t>mail</w:t>
            </w:r>
            <w:r>
              <w:rPr>
                <w:rFonts w:ascii="Times New Roman" w:hAnsi="Times New Roman"/>
                <w:i/>
                <w:sz w:val="24"/>
                <w:szCs w:val="24"/>
                <w:shd w:fill="FFFFFF" w:val="clear"/>
              </w:rPr>
              <w:t xml:space="preserve">: </w:t>
            </w:r>
            <w:hyperlink r:id="rId2">
              <w:r>
                <w:rPr>
                  <w:rFonts w:ascii="Times New Roman" w:hAnsi="Times New Roman"/>
                  <w:i/>
                  <w:sz w:val="24"/>
                  <w:szCs w:val="24"/>
                  <w:shd w:fill="FFFFFF" w:val="clear"/>
                  <w:lang w:val="en-US"/>
                </w:rPr>
                <w:t>sergmeg</w:t>
              </w:r>
              <w:r>
                <w:rPr>
                  <w:rFonts w:ascii="Times New Roman" w:hAnsi="Times New Roman"/>
                  <w:i/>
                  <w:sz w:val="24"/>
                  <w:szCs w:val="24"/>
                  <w:shd w:fill="FFFFFF" w:val="clear"/>
                </w:rPr>
                <w:t>@</w:t>
              </w:r>
              <w:r>
                <w:rPr>
                  <w:rFonts w:ascii="Times New Roman" w:hAnsi="Times New Roman"/>
                  <w:i/>
                  <w:sz w:val="24"/>
                  <w:szCs w:val="24"/>
                  <w:shd w:fill="FFFFFF" w:val="clear"/>
                  <w:lang w:val="en-US"/>
                </w:rPr>
                <w:t>rambler</w:t>
              </w:r>
              <w:r>
                <w:rPr>
                  <w:rFonts w:ascii="Times New Roman" w:hAnsi="Times New Roman"/>
                  <w:i/>
                  <w:sz w:val="24"/>
                  <w:szCs w:val="24"/>
                  <w:shd w:fill="FFFFFF" w:val="clear"/>
                </w:rPr>
                <w:t>.</w:t>
              </w:r>
              <w:r>
                <w:rPr>
                  <w:rFonts w:ascii="Times New Roman" w:hAnsi="Times New Roman"/>
                  <w:i/>
                  <w:sz w:val="24"/>
                  <w:szCs w:val="24"/>
                  <w:shd w:fill="FFFFFF" w:val="clear"/>
                  <w:lang w:val="en-US"/>
                </w:rPr>
                <w:t>ru</w:t>
              </w:r>
            </w:hyperlink>
          </w:p>
        </w:tc>
        <w:tc>
          <w:tcPr>
            <w:tcW w:w="4738" w:type="dxa"/>
            <w:tcBorders/>
            <w:shd w:color="auto" w:fill="auto" w:val="clear"/>
          </w:tcPr>
          <w:p>
            <w:pPr>
              <w:pStyle w:val="Normal"/>
              <w:widowControl w:val="false"/>
              <w:spacing w:lineRule="auto" w:line="240"/>
              <w:rPr/>
            </w:pPr>
            <w:r>
              <w:rPr>
                <w:rFonts w:ascii="Times New Roman" w:hAnsi="Times New Roman"/>
                <w:i/>
                <w:sz w:val="24"/>
                <w:szCs w:val="24"/>
                <w:lang w:val="en-US"/>
              </w:rPr>
              <w:t>Military educational scientific center of the air force  Air Force                                             Academy named after Professor N.E. Zhukovsky and Y.A. Gagarin                        Ph.D. in History,                                              senior lecturer humanities and social and economic sciences chair                                                                   S.</w:t>
            </w:r>
            <w:r>
              <w:rPr>
                <w:rFonts w:ascii="Times New Roman" w:hAnsi="Times New Roman"/>
                <w:i/>
                <w:iCs/>
                <w:sz w:val="24"/>
                <w:szCs w:val="24"/>
                <w:lang w:val="en-US"/>
              </w:rPr>
              <w:t xml:space="preserve"> A. Meganov,                                            </w:t>
            </w:r>
            <w:r>
              <w:rPr>
                <w:rFonts w:ascii="Times New Roman" w:hAnsi="Times New Roman"/>
                <w:b w:val="false"/>
                <w:i/>
                <w:iCs/>
                <w:caps w:val="false"/>
                <w:smallCaps w:val="false"/>
                <w:color w:val="000000"/>
                <w:spacing w:val="0"/>
                <w:sz w:val="24"/>
                <w:szCs w:val="24"/>
                <w:lang w:val="en-US"/>
              </w:rPr>
              <w:t>cadet D.E. Tereshchenko</w:t>
            </w:r>
            <w:r>
              <w:rPr>
                <w:rFonts w:ascii="Times New Roman" w:hAnsi="Times New Roman"/>
                <w:i/>
                <w:iCs/>
                <w:sz w:val="24"/>
                <w:szCs w:val="24"/>
                <w:lang w:val="en-US"/>
              </w:rPr>
              <w:t xml:space="preserve"> </w:t>
            </w:r>
            <w:r>
              <w:rPr>
                <w:rFonts w:ascii="Times New Roman" w:hAnsi="Times New Roman"/>
                <w:i/>
                <w:iCs/>
                <w:sz w:val="24"/>
                <w:szCs w:val="24"/>
                <w:lang w:val="ru-RU"/>
              </w:rPr>
              <w:t xml:space="preserve">    </w:t>
            </w:r>
            <w:r>
              <w:rPr>
                <w:rFonts w:ascii="Times New Roman" w:hAnsi="Times New Roman"/>
                <w:i/>
                <w:sz w:val="24"/>
                <w:szCs w:val="24"/>
                <w:lang w:val="ru-RU"/>
              </w:rPr>
              <w:t xml:space="preserve">                                                                                                               </w:t>
            </w:r>
            <w:r>
              <w:rPr>
                <w:rFonts w:ascii="Times New Roman" w:hAnsi="Times New Roman"/>
                <w:i/>
                <w:sz w:val="24"/>
                <w:szCs w:val="24"/>
                <w:lang w:val="en-US"/>
              </w:rPr>
              <w:t>Russia, Voronezh, tel.</w:t>
            </w:r>
            <w:r>
              <w:rPr>
                <w:rFonts w:ascii="Times New Roman" w:hAnsi="Times New Roman"/>
                <w:i/>
                <w:sz w:val="24"/>
                <w:szCs w:val="24"/>
                <w:shd w:fill="FFFFFF" w:val="clear"/>
                <w:lang w:val="en-US"/>
              </w:rPr>
              <w:t xml:space="preserve"> (473) 277-51-34; </w:t>
            </w:r>
            <w:r>
              <w:rPr>
                <w:rFonts w:ascii="Times New Roman" w:hAnsi="Times New Roman"/>
                <w:i/>
                <w:sz w:val="24"/>
                <w:szCs w:val="24"/>
                <w:lang w:val="en-US"/>
              </w:rPr>
              <w:t xml:space="preserve">                        </w:t>
            </w:r>
            <w:r>
              <w:rPr>
                <w:rFonts w:ascii="Times New Roman" w:hAnsi="Times New Roman"/>
                <w:i/>
                <w:sz w:val="24"/>
                <w:szCs w:val="24"/>
                <w:shd w:fill="FFFFFF" w:val="clear"/>
                <w:lang w:val="en-US"/>
              </w:rPr>
              <w:t>e-mail: sergmeg@rambler.ru</w:t>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r>
          </w:p>
        </w:tc>
      </w:tr>
    </w:tbl>
    <w:p>
      <w:pPr>
        <w:pStyle w:val="Normal"/>
        <w:shd w:val="clear" w:color="auto" w:fill="FFFFFF"/>
        <w:spacing w:lineRule="auto" w:line="360"/>
        <w:ind w:firstLine="709"/>
        <w:jc w:val="center"/>
        <w:rPr>
          <w:b/>
          <w:b/>
          <w:color w:val="000000"/>
          <w:sz w:val="28"/>
          <w:szCs w:val="28"/>
        </w:rPr>
      </w:pPr>
      <w:r>
        <w:rPr>
          <w:b/>
          <w:color w:val="000000"/>
          <w:sz w:val="28"/>
          <w:szCs w:val="28"/>
        </w:rPr>
      </w:r>
    </w:p>
    <w:p>
      <w:pPr>
        <w:pStyle w:val="Normal"/>
        <w:shd w:val="clear" w:color="auto" w:fill="FFFFFF"/>
        <w:spacing w:lineRule="auto" w:line="360"/>
        <w:ind w:firstLine="709"/>
        <w:jc w:val="center"/>
        <w:rPr>
          <w:rFonts w:ascii="Times New Roman" w:hAnsi="Times New Roman"/>
        </w:rPr>
      </w:pPr>
      <w:r>
        <w:rPr>
          <w:rFonts w:ascii="Times New Roman" w:hAnsi="Times New Roman"/>
          <w:b/>
          <w:color w:val="000000"/>
          <w:sz w:val="24"/>
          <w:szCs w:val="24"/>
        </w:rPr>
        <w:t>С.А. Меганов, Д.Е. Терещенко</w:t>
      </w:r>
    </w:p>
    <w:p>
      <w:pPr>
        <w:pStyle w:val="Normal"/>
        <w:shd w:val="clear" w:color="auto" w:fill="FFFFFF"/>
        <w:spacing w:lineRule="auto" w:line="360" w:before="0" w:after="0"/>
        <w:ind w:firstLine="709"/>
        <w:jc w:val="center"/>
        <w:rPr>
          <w:sz w:val="24"/>
          <w:szCs w:val="24"/>
        </w:rPr>
      </w:pPr>
      <w:r>
        <w:rPr>
          <w:rFonts w:cs="Times New Roman" w:ascii="Times New Roman" w:hAnsi="Times New Roman"/>
          <w:b/>
          <w:color w:val="000000"/>
          <w:sz w:val="24"/>
          <w:szCs w:val="24"/>
        </w:rPr>
        <w:t xml:space="preserve">ИСТОРИЯ </w:t>
      </w:r>
      <w:r>
        <w:rPr>
          <w:rFonts w:cs="Times New Roman" w:ascii="Times New Roman" w:hAnsi="Times New Roman"/>
          <w:b/>
          <w:color w:val="000000"/>
          <w:sz w:val="24"/>
          <w:szCs w:val="24"/>
        </w:rPr>
        <w:t>ТАЦИНСК</w:t>
      </w:r>
      <w:r>
        <w:rPr>
          <w:rFonts w:cs="Times New Roman" w:ascii="Times New Roman" w:hAnsi="Times New Roman"/>
          <w:b/>
          <w:color w:val="000000"/>
          <w:sz w:val="24"/>
          <w:szCs w:val="24"/>
        </w:rPr>
        <w:t>ОГО</w:t>
      </w:r>
      <w:r>
        <w:rPr>
          <w:rFonts w:cs="Times New Roman" w:ascii="Times New Roman" w:hAnsi="Times New Roman"/>
          <w:b/>
          <w:color w:val="000000"/>
          <w:sz w:val="24"/>
          <w:szCs w:val="24"/>
        </w:rPr>
        <w:t xml:space="preserve"> ТАНКОВ</w:t>
      </w:r>
      <w:r>
        <w:rPr>
          <w:rFonts w:cs="Times New Roman" w:ascii="Times New Roman" w:hAnsi="Times New Roman"/>
          <w:b/>
          <w:color w:val="000000"/>
          <w:sz w:val="24"/>
          <w:szCs w:val="24"/>
        </w:rPr>
        <w:t>ОГО</w:t>
      </w:r>
      <w:r>
        <w:rPr>
          <w:rFonts w:cs="Times New Roman" w:ascii="Times New Roman" w:hAnsi="Times New Roman"/>
          <w:b/>
          <w:color w:val="000000"/>
          <w:sz w:val="24"/>
          <w:szCs w:val="24"/>
        </w:rPr>
        <w:t xml:space="preserve"> РЕЙД</w:t>
      </w:r>
      <w:r>
        <w:rPr>
          <w:rFonts w:cs="Times New Roman" w:ascii="Times New Roman" w:hAnsi="Times New Roman"/>
          <w:b/>
          <w:color w:val="000000"/>
          <w:sz w:val="24"/>
          <w:szCs w:val="24"/>
        </w:rPr>
        <w:t>А</w:t>
      </w:r>
      <w:r>
        <w:rPr>
          <w:rFonts w:cs="Times New Roman" w:ascii="Times New Roman" w:hAnsi="Times New Roman"/>
          <w:b/>
          <w:color w:val="000000"/>
          <w:sz w:val="24"/>
          <w:szCs w:val="24"/>
        </w:rPr>
        <w:t xml:space="preserve"> ГЕНЕРАЛА ВАСИЛИЯ БАДАНОВА</w:t>
      </w:r>
    </w:p>
    <w:p>
      <w:pPr>
        <w:pStyle w:val="Normal"/>
        <w:shd w:val="clear" w:color="auto" w:fill="FFFFFF"/>
        <w:spacing w:lineRule="auto" w:line="360" w:before="0" w:after="0"/>
        <w:ind w:firstLine="709"/>
        <w:jc w:val="center"/>
        <w:rPr>
          <w:sz w:val="24"/>
          <w:szCs w:val="24"/>
        </w:rPr>
      </w:pPr>
      <w:r>
        <w:rPr>
          <w:rFonts w:cs="Times New Roman" w:ascii="Times New Roman" w:hAnsi="Times New Roman"/>
          <w:b/>
          <w:color w:val="000000"/>
          <w:sz w:val="24"/>
          <w:szCs w:val="24"/>
        </w:rPr>
        <w:t>1942  ГОДА</w:t>
      </w:r>
    </w:p>
    <w:p>
      <w:pPr>
        <w:pStyle w:val="Normal"/>
        <w:shd w:val="clear" w:color="auto" w:fill="FFFFFF"/>
        <w:spacing w:lineRule="auto" w:line="240"/>
        <w:ind w:firstLine="709"/>
        <w:jc w:val="both"/>
        <w:rPr>
          <w:rFonts w:ascii="Times New Roman" w:hAnsi="Times New Roman"/>
        </w:rPr>
      </w:pPr>
      <w:r>
        <w:rPr>
          <w:rFonts w:ascii="Times New Roman" w:hAnsi="Times New Roman"/>
          <w:sz w:val="20"/>
          <w:szCs w:val="20"/>
        </w:rPr>
        <w:t xml:space="preserve">В статье проанализирована истори тацинского танкового рейда 1942 года                                             </w:t>
        <w:tab/>
      </w:r>
      <w:r>
        <w:rPr>
          <w:rFonts w:ascii="Times New Roman" w:hAnsi="Times New Roman"/>
          <w:b/>
          <w:sz w:val="20"/>
          <w:szCs w:val="20"/>
        </w:rPr>
        <w:t>Ключевые слова:</w:t>
      </w:r>
      <w:r>
        <w:rPr>
          <w:rFonts w:ascii="Times New Roman" w:hAnsi="Times New Roman"/>
          <w:sz w:val="20"/>
          <w:szCs w:val="20"/>
        </w:rPr>
        <w:t xml:space="preserve"> </w:t>
      </w:r>
      <w:r>
        <w:rPr>
          <w:rFonts w:ascii="Times New Roman" w:hAnsi="Times New Roman"/>
          <w:sz w:val="20"/>
          <w:szCs w:val="20"/>
          <w:lang w:val="ru-RU"/>
        </w:rPr>
        <w:t>танковый рейд, Сталинградская битва, операция Малый Сатурн</w:t>
      </w:r>
    </w:p>
    <w:p>
      <w:pPr>
        <w:pStyle w:val="Normal"/>
        <w:spacing w:lineRule="auto" w:line="240"/>
        <w:jc w:val="both"/>
        <w:rPr>
          <w:sz w:val="20"/>
          <w:szCs w:val="20"/>
        </w:rPr>
      </w:pPr>
      <w:r>
        <w:rPr>
          <w:sz w:val="20"/>
          <w:szCs w:val="20"/>
        </w:rPr>
      </w:r>
    </w:p>
    <w:p>
      <w:pPr>
        <w:pStyle w:val="Normal"/>
        <w:jc w:val="center"/>
        <w:rPr>
          <w:rFonts w:cs="Arial"/>
          <w:b/>
          <w:b/>
          <w:color w:val="333333"/>
          <w:szCs w:val="36"/>
        </w:rPr>
      </w:pPr>
      <w:r>
        <w:rPr>
          <w:sz w:val="20"/>
          <w:szCs w:val="20"/>
        </w:rPr>
        <w:tab/>
      </w:r>
      <w:r>
        <w:rPr>
          <w:rFonts w:cs="Arial" w:ascii="Times New Roman" w:hAnsi="Times New Roman"/>
          <w:b w:val="false"/>
          <w:i w:val="false"/>
          <w:caps w:val="false"/>
          <w:smallCaps w:val="false"/>
          <w:color w:val="000000"/>
          <w:spacing w:val="0"/>
          <w:sz w:val="24"/>
          <w:szCs w:val="24"/>
          <w:lang w:val="en-US"/>
        </w:rPr>
        <w:t>S.A. Meganov, D.E. Tereshchenko</w:t>
      </w:r>
      <w:r>
        <w:rPr>
          <w:rFonts w:cs="Arial" w:ascii="Times New Roman" w:hAnsi="Times New Roman"/>
          <w:b/>
          <w:color w:val="333333"/>
          <w:sz w:val="24"/>
          <w:szCs w:val="24"/>
          <w:lang w:val="en-US"/>
        </w:rPr>
        <w:t xml:space="preserve"> </w:t>
      </w:r>
    </w:p>
    <w:p>
      <w:pPr>
        <w:pStyle w:val="Normal"/>
        <w:jc w:val="center"/>
        <w:rPr>
          <w:rFonts w:cs="Arial"/>
          <w:b/>
          <w:b/>
          <w:color w:val="333333"/>
          <w:szCs w:val="36"/>
        </w:rPr>
      </w:pPr>
      <w:r>
        <w:rPr>
          <w:rFonts w:cs="Arial" w:ascii="Times New Roman" w:hAnsi="Times New Roman"/>
          <w:b/>
          <w:bCs/>
          <w:color w:val="333333"/>
          <w:sz w:val="24"/>
          <w:szCs w:val="24"/>
          <w:lang w:val="en-US"/>
        </w:rPr>
        <w:t>TATSIN TANK RAID BY GENERAL VASILY BADANOV</w:t>
        <w:br/>
        <w:t>1942</w:t>
      </w:r>
    </w:p>
    <w:p>
      <w:pPr>
        <w:pStyle w:val="Normal"/>
        <w:jc w:val="left"/>
        <w:rPr/>
      </w:pPr>
      <w:r>
        <w:rPr>
          <w:rFonts w:cs="Arial" w:ascii="Arial;Helvetica;sans-serif" w:hAnsi="Arial;Helvetica;sans-serif"/>
          <w:b/>
          <w:i w:val="false"/>
          <w:caps w:val="false"/>
          <w:smallCaps w:val="false"/>
          <w:color w:val="333333"/>
          <w:spacing w:val="0"/>
          <w:sz w:val="20"/>
          <w:szCs w:val="36"/>
        </w:rPr>
        <w:t xml:space="preserve">            </w:t>
      </w:r>
      <w:r>
        <w:rPr>
          <w:rFonts w:cs="Arial" w:ascii="Times New Roman" w:hAnsi="Times New Roman"/>
          <w:b w:val="false"/>
          <w:bCs w:val="false"/>
          <w:i w:val="false"/>
          <w:caps w:val="false"/>
          <w:smallCaps w:val="false"/>
          <w:color w:val="333333"/>
          <w:spacing w:val="0"/>
          <w:sz w:val="20"/>
          <w:szCs w:val="20"/>
        </w:rPr>
        <w:t xml:space="preserve"> </w:t>
      </w:r>
      <w:r>
        <w:rPr>
          <w:rFonts w:cs="Arial" w:ascii="Times New Roman" w:hAnsi="Times New Roman"/>
          <w:b w:val="false"/>
          <w:bCs w:val="false"/>
          <w:i w:val="false"/>
          <w:caps w:val="false"/>
          <w:smallCaps w:val="false"/>
          <w:color w:val="333333"/>
          <w:spacing w:val="0"/>
          <w:sz w:val="20"/>
          <w:szCs w:val="20"/>
        </w:rPr>
        <w:t xml:space="preserve">The article analyzes the history of the Tatsin tank raid of 1942                                                                                                                                   </w:t>
        <w:tab/>
      </w:r>
      <w:r>
        <w:rPr>
          <w:rFonts w:cs="Arial" w:ascii="Times New Roman" w:hAnsi="Times New Roman"/>
          <w:b/>
          <w:bCs/>
          <w:i w:val="false"/>
          <w:caps w:val="false"/>
          <w:smallCaps w:val="false"/>
          <w:color w:val="000000"/>
          <w:spacing w:val="0"/>
          <w:sz w:val="20"/>
          <w:szCs w:val="20"/>
        </w:rPr>
        <w:t xml:space="preserve">Keywords: </w:t>
      </w:r>
      <w:r>
        <w:rPr>
          <w:rFonts w:cs="Arial" w:ascii="Times New Roman" w:hAnsi="Times New Roman"/>
          <w:b w:val="false"/>
          <w:bCs w:val="false"/>
          <w:i w:val="false"/>
          <w:caps w:val="false"/>
          <w:smallCaps w:val="false"/>
          <w:color w:val="000000"/>
          <w:spacing w:val="0"/>
          <w:sz w:val="20"/>
          <w:szCs w:val="20"/>
        </w:rPr>
        <w:t xml:space="preserve">tank </w:t>
      </w:r>
      <w:r>
        <w:rPr>
          <w:rFonts w:cs="Arial" w:ascii="Times New Roman" w:hAnsi="Times New Roman"/>
          <w:b w:val="false"/>
          <w:i w:val="false"/>
          <w:caps w:val="false"/>
          <w:smallCaps w:val="false"/>
          <w:color w:val="000000"/>
          <w:spacing w:val="0"/>
          <w:sz w:val="20"/>
          <w:szCs w:val="20"/>
        </w:rPr>
        <w:t>raid, Battle of Stalingrad, Operation Small Saturn</w:t>
      </w:r>
      <w:r>
        <w:rPr>
          <w:rFonts w:cs="Arial" w:ascii="Times New Roman" w:hAnsi="Times New Roman"/>
          <w:b/>
          <w:color w:val="333333"/>
          <w:sz w:val="20"/>
          <w:szCs w:val="20"/>
        </w:rPr>
        <w:t xml:space="preserve"> </w:t>
      </w:r>
      <w:r>
        <w:rPr>
          <w:rFonts w:cs="Arial" w:ascii="Times New Roman" w:hAnsi="Times New Roman"/>
          <w:b/>
          <w:color w:val="333333"/>
          <w:sz w:val="24"/>
          <w:szCs w:val="24"/>
        </w:rPr>
        <w:br/>
        <w:tab/>
      </w:r>
    </w:p>
    <w:p>
      <w:pPr>
        <w:pStyle w:val="Normal"/>
        <w:spacing w:lineRule="auto" w:line="240" w:before="0" w:after="0"/>
        <w:ind w:hanging="0"/>
        <w:jc w:val="both"/>
        <w:rPr>
          <w:rFonts w:ascii="Times New Roman" w:hAnsi="Times New Roman" w:cs="Times New Roman"/>
          <w:sz w:val="28"/>
          <w:szCs w:val="28"/>
        </w:rPr>
      </w:pPr>
      <w:r>
        <w:rPr>
          <w:rFonts w:cs="Times New Roman" w:ascii="Times New Roman" w:hAnsi="Times New Roman"/>
          <w:sz w:val="28"/>
          <w:szCs w:val="28"/>
        </w:rPr>
        <w:tab/>
      </w:r>
      <w:r>
        <w:rPr>
          <w:rFonts w:cs="Times New Roman" w:ascii="Times New Roman" w:hAnsi="Times New Roman"/>
          <w:sz w:val="24"/>
          <w:szCs w:val="24"/>
        </w:rPr>
        <w:t xml:space="preserve">Сталинградская битва - одно из крупнейших сражений Великой Отечественной войны. Победа наших войск под Сталинградом стала началом коренного перелома в ходе Великой Отечественной. После тяжёлых, в течение нескольких месяцев оборонительных боёв, 19 ноября 1942 года Красная армия перешла в контрнаступление и 23 ноября замкнула кольцо окружения вокруг 6-й немецкой армии под командованием Ф. Паулюса.  В окружение попала крупнейшая группировка немецко-фашистских войск. Для снабжения армии, попавшей в окружение под Сталинградом, немецким командованием был организован «воздушный мост», с использованием транспортной авиации Люфтваффе, а для деблокирования и прорыва кольца с внешней стороны создана группа армий «Дон» под командованием фельдмаршала Манштейна и спланирована операция «Зимняя гроза».  Сосредоточив свои войска к югу от Сталинграда, Манштейн 12 декабря 1942 года начал наступление в районе Котельниково [1, с. 253]. Но судьба Сталинграда в декабре 1942 года решалась не только на берегах Волги. Большое влияние на боевые действия подСталинградом оказали события, происходившие на Среднем Дону. Сталинградская стратегическая наступательная операция с целью окружения и ликвидации немецких войск под Сталинградом получила кодовое наименование «Уран». В это же время советским командованием планировалась и наступательная операция на Среднем Дону, под кодовым названием «Сатурн»[2, с. 351].  Замысел операции «Сатурн» предполагал нанесение удара в направлении на Ростов-на-Дону, чтобы отрезать южное крыло немецких войск от основных сил Восточного фронта. Проводить данную операцию должны были войска Юго-Западного фронта при участии части войск Воронежского фронта. Но в связи с наступлением Манштейна, часть войск, которые должны были участвовать в операции «Сатурн» советское командование перебросило под Сталинград. Поэтому от планов наступления на Ростов-на-Дону отказались, теперь войска Юго-Западного фронта главный удар должны были наносить на юго-восток в сторону Нижне-Астахова и Морозовска. Так операция с кодовым названием «Сатурн» стала «Малым Сатурном».            </w:t>
      </w:r>
      <w:r>
        <w:rPr>
          <w:rFonts w:cs="Times New Roman" w:ascii="Times New Roman" w:hAnsi="Times New Roman"/>
          <w:sz w:val="28"/>
          <w:szCs w:val="28"/>
        </w:rPr>
        <w:t xml:space="preserve">                              </w:t>
      </w:r>
    </w:p>
    <w:p>
      <w:pPr>
        <w:pStyle w:val="Normal"/>
        <w:spacing w:lineRule="auto" w:line="360" w:before="0" w:after="0"/>
        <w:ind w:firstLine="709"/>
        <w:jc w:val="both"/>
        <w:rPr>
          <w:rFonts w:ascii="Times New Roman" w:hAnsi="Times New Roman" w:cs="Times New Roman"/>
          <w:b/>
          <w:b/>
          <w:sz w:val="28"/>
          <w:szCs w:val="28"/>
        </w:rPr>
      </w:pPr>
      <w:r>
        <w:rPr>
          <w:rFonts w:cs="Times New Roman" w:ascii="Times New Roman" w:hAnsi="Times New Roman"/>
          <w:b/>
          <w:sz w:val="28"/>
          <w:szCs w:val="28"/>
        </w:rPr>
        <w:t xml:space="preserve">            </w:t>
      </w:r>
    </w:p>
    <w:p>
      <w:pPr>
        <w:pStyle w:val="Normal"/>
        <w:spacing w:lineRule="auto" w:line="240" w:before="0" w:after="0"/>
        <w:ind w:firstLine="709"/>
        <w:jc w:val="both"/>
        <w:rPr/>
      </w:pPr>
      <w:r>
        <w:rPr>
          <w:rFonts w:cs="Times New Roman" w:ascii="Times New Roman" w:hAnsi="Times New Roman"/>
          <w:b/>
          <w:sz w:val="24"/>
          <w:szCs w:val="24"/>
        </w:rPr>
        <w:t>Операция «Малый Сатурн»</w:t>
      </w:r>
    </w:p>
    <w:p>
      <w:pPr>
        <w:pStyle w:val="Normal"/>
        <w:spacing w:lineRule="auto" w:line="240" w:before="0" w:after="0"/>
        <w:ind w:firstLine="709"/>
        <w:jc w:val="both"/>
        <w:rPr/>
      </w:pPr>
      <w:r>
        <w:drawing>
          <wp:anchor behindDoc="0" distT="0" distB="0" distL="114300" distR="114300" simplePos="0" locked="0" layoutInCell="0" allowOverlap="1" relativeHeight="3">
            <wp:simplePos x="0" y="0"/>
            <wp:positionH relativeFrom="column">
              <wp:posOffset>2729865</wp:posOffset>
            </wp:positionH>
            <wp:positionV relativeFrom="paragraph">
              <wp:posOffset>111125</wp:posOffset>
            </wp:positionV>
            <wp:extent cx="3239135" cy="3850640"/>
            <wp:effectExtent l="0" t="0" r="0" b="0"/>
            <wp:wrapTight wrapText="bothSides">
              <wp:wrapPolygon edited="0">
                <wp:start x="-270" y="0"/>
                <wp:lineTo x="-270" y="21027"/>
                <wp:lineTo x="21221" y="21027"/>
                <wp:lineTo x="21221" y="0"/>
                <wp:lineTo x="-270" y="0"/>
              </wp:wrapPolygon>
            </wp:wrapTight>
            <wp:docPr id="1" name="Рисунок 1" descr="https://topwar.ru/uploads/posts/2017-12/thumbs/1513882776_sredndonn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https://topwar.ru/uploads/posts/2017-12/thumbs/1513882776_sredndonno-1.jpg"/>
                    <pic:cNvPicPr>
                      <a:picLocks noChangeAspect="1" noChangeArrowheads="1"/>
                    </pic:cNvPicPr>
                  </pic:nvPicPr>
                  <pic:blipFill>
                    <a:blip r:embed="rId3"/>
                    <a:stretch>
                      <a:fillRect/>
                    </a:stretch>
                  </pic:blipFill>
                  <pic:spPr bwMode="auto">
                    <a:xfrm>
                      <a:off x="0" y="0"/>
                      <a:ext cx="3239135" cy="3850640"/>
                    </a:xfrm>
                    <a:prstGeom prst="rect">
                      <a:avLst/>
                    </a:prstGeom>
                  </pic:spPr>
                </pic:pic>
              </a:graphicData>
            </a:graphic>
          </wp:anchor>
        </w:drawing>
      </w:r>
      <w:r>
        <w:rPr>
          <w:rFonts w:cs="Times New Roman" w:ascii="Times New Roman" w:hAnsi="Times New Roman"/>
          <w:sz w:val="24"/>
          <w:szCs w:val="24"/>
        </w:rPr>
        <w:t>«</w:t>
      </w:r>
      <w:r>
        <w:rPr>
          <w:rFonts w:cs="Times New Roman" w:ascii="Times New Roman" w:hAnsi="Times New Roman"/>
          <w:sz w:val="24"/>
          <w:szCs w:val="24"/>
        </w:rPr>
        <w:t xml:space="preserve">Малый Сатурн» - это кодовое название Среднедонской наступательной операции. </w:t>
      </w:r>
      <w:r>
        <w:rPr>
          <w:rFonts w:cs="Times New Roman" w:ascii="Times New Roman" w:hAnsi="Times New Roman"/>
          <w:color w:val="000000"/>
          <w:sz w:val="24"/>
          <w:szCs w:val="24"/>
        </w:rPr>
        <w:t xml:space="preserve">Стратегический замысел операции предполагал нанесение главного удара по основным силам 8-й итальянской армии и оперативной группе «Холлидт» с целью их окружения и уничтожения, выхода в район северо-восточнее Миллерово с одновременным развитием наступления во фланг и тыл группы армий «Дон», предпринимавшей усилия для прорыва к окруженной под Сталинградом 6-й немецкой армии. </w:t>
      </w:r>
    </w:p>
    <w:p>
      <w:pPr>
        <w:pStyle w:val="Normal"/>
        <w:spacing w:lineRule="auto" w:line="240" w:before="0" w:after="0"/>
        <w:ind w:firstLine="709"/>
        <w:jc w:val="both"/>
        <w:rPr/>
      </w:pPr>
      <w:r>
        <w:rPr>
          <w:rFonts w:cs="Times New Roman" w:ascii="Times New Roman" w:hAnsi="Times New Roman"/>
          <w:color w:val="000000"/>
          <w:sz w:val="24"/>
          <w:szCs w:val="24"/>
        </w:rPr>
        <w:t>Основная идея решения поставленной задачи предполагала нанесение двух ударов по сходящимся направлениям. Один удар наносился с Осетровского плацдарма на юг, другой из района станицы Боковской на запад.</w:t>
      </w:r>
      <w:r>
        <w:rPr>
          <w:rFonts w:cs="Times New Roman" w:ascii="Times New Roman" w:hAnsi="Times New Roman"/>
          <w:sz w:val="24"/>
          <w:szCs w:val="24"/>
        </w:rPr>
        <w:t xml:space="preserve"> </w:t>
      </w:r>
    </w:p>
    <w:p>
      <w:pPr>
        <w:pStyle w:val="Normal"/>
        <w:spacing w:lineRule="auto" w:line="240" w:before="0" w:after="0"/>
        <w:ind w:firstLine="709"/>
        <w:jc w:val="both"/>
        <w:rPr/>
      </w:pPr>
      <w:r>
        <w:rPr>
          <w:rFonts w:cs="Times New Roman" w:ascii="Times New Roman" w:hAnsi="Times New Roman"/>
          <w:sz w:val="24"/>
          <w:szCs w:val="24"/>
        </w:rPr>
        <w:t xml:space="preserve">Главную задачу операции должны были выполнить войска Юго-Западного фронта, которым командовал генерал </w:t>
      </w:r>
      <w:r>
        <w:rPr>
          <w:rFonts w:cs="Times New Roman" w:ascii="Times New Roman" w:hAnsi="Times New Roman"/>
          <w:bCs/>
          <w:sz w:val="24"/>
          <w:szCs w:val="24"/>
        </w:rPr>
        <w:t>Н.Ф. Ватутин.</w:t>
      </w:r>
    </w:p>
    <w:p>
      <w:pPr>
        <w:pStyle w:val="Normal"/>
        <w:spacing w:lineRule="auto" w:line="240" w:before="0" w:after="0"/>
        <w:ind w:firstLine="709"/>
        <w:jc w:val="both"/>
        <w:rPr/>
      </w:pPr>
      <w:r>
        <w:rPr>
          <w:rFonts w:cs="Times New Roman" w:ascii="Times New Roman" w:hAnsi="Times New Roman"/>
          <w:color w:val="000000"/>
          <w:sz w:val="24"/>
          <w:szCs w:val="24"/>
        </w:rPr>
        <w:t>1-я гвардейская армия Юго-Западного фронта под командованием генерал-лейтенанта В.И.Кузнецова, усиленная 18, 24, и 25-м танковыми корпусами во взаимодействии с 6-й армией воронежского фронта и 17-м танковым корпусом наносила главный удар с Осетровского плацдарма в направлении на Тацинскую и Морозовск.</w:t>
      </w:r>
    </w:p>
    <w:p>
      <w:pPr>
        <w:pStyle w:val="Normal"/>
        <w:spacing w:lineRule="auto" w:line="240" w:before="0" w:after="0"/>
        <w:ind w:firstLine="709"/>
        <w:jc w:val="both"/>
        <w:rPr/>
      </w:pPr>
      <w:r>
        <w:rPr>
          <w:rFonts w:cs="Times New Roman" w:ascii="Times New Roman" w:hAnsi="Times New Roman"/>
          <w:color w:val="000000"/>
          <w:sz w:val="24"/>
          <w:szCs w:val="24"/>
        </w:rPr>
        <w:t>3-я гвардейская армия генерала Д.Д.Лелюшенко с 1-м гвардейским механизированным корпусом должна была прорвать оборону противника в районе Боковской и в дальнейшем наступать на Морозовский.</w:t>
      </w:r>
    </w:p>
    <w:p>
      <w:pPr>
        <w:pStyle w:val="Normal"/>
        <w:spacing w:lineRule="auto" w:line="240" w:before="0" w:after="0"/>
        <w:ind w:firstLine="709"/>
        <w:jc w:val="both"/>
        <w:rPr/>
      </w:pPr>
      <w:r>
        <w:rPr>
          <w:rFonts w:cs="Times New Roman" w:ascii="Times New Roman" w:hAnsi="Times New Roman"/>
          <w:color w:val="000000"/>
          <w:sz w:val="24"/>
          <w:szCs w:val="24"/>
        </w:rPr>
        <w:t>5-я танковая армия генерала П.Л.Романенко с 5-м механизированным корпусом получила задачу противостоять попыткам прорвать кольцо окружения вокруг Сталинграда и содействовать операции «Малый Сатурн», что предполагало действия по двум расходящимся направлениям.</w:t>
      </w:r>
    </w:p>
    <w:p>
      <w:pPr>
        <w:pStyle w:val="Normal"/>
        <w:spacing w:lineRule="auto" w:line="240" w:before="0" w:after="0"/>
        <w:ind w:firstLine="709"/>
        <w:jc w:val="both"/>
        <w:rPr/>
      </w:pPr>
      <w:r>
        <w:rPr>
          <w:rFonts w:cs="Times New Roman" w:ascii="Times New Roman" w:hAnsi="Times New Roman"/>
          <w:color w:val="000000"/>
          <w:sz w:val="24"/>
          <w:szCs w:val="24"/>
        </w:rPr>
        <w:t>6-я армия Воронежского фронта с рубежа Новая Калитва должна была действовать в направлении на Кантемировку, обеспечивая с запада действия Юго-Западного фронта.</w:t>
      </w:r>
    </w:p>
    <w:p>
      <w:pPr>
        <w:pStyle w:val="Normal"/>
        <w:spacing w:lineRule="auto" w:line="240" w:before="0" w:after="0"/>
        <w:ind w:firstLine="709"/>
        <w:jc w:val="both"/>
        <w:rPr/>
      </w:pPr>
      <w:r>
        <w:rPr>
          <w:rFonts w:cs="Times New Roman" w:ascii="Times New Roman" w:hAnsi="Times New Roman"/>
          <w:color w:val="000000"/>
          <w:sz w:val="24"/>
          <w:szCs w:val="24"/>
        </w:rPr>
        <w:t>К концу операции войска Юго-Западного фронта должны были выйти на линию Новая Калитва, Марковка, Зориновка, Чертково, река Калитва, Гусынка, Пуличев, Чернышковский [3, с. 353].</w:t>
      </w:r>
    </w:p>
    <w:p>
      <w:pPr>
        <w:pStyle w:val="Normal"/>
        <w:spacing w:lineRule="auto" w:line="240" w:before="0" w:after="0"/>
        <w:ind w:firstLine="709"/>
        <w:jc w:val="both"/>
        <w:rPr/>
      </w:pPr>
      <w:r>
        <w:rPr>
          <w:rFonts w:cs="Times New Roman" w:ascii="Times New Roman" w:hAnsi="Times New Roman"/>
          <w:color w:val="000000"/>
          <w:sz w:val="24"/>
          <w:szCs w:val="24"/>
        </w:rPr>
        <w:t xml:space="preserve">Советским войскам на участке от Новой Калитвы до Нижне-Чирской протяжённостью 430 км противостояли: 8-й итальянская армия, оперативная группа «Холлидт», остатки 3-й румынской армии. Общая численность советских войск и войск противника была примерно одинаковой, но советские войска имели подавляющее преимущество в танках. Основная роль в операции «Малый Сатурн» отводилась танковым войскам. Это была первая операция советских войск, в которой танковые и механизированные соединения имели самостоятельные задачи и должны были действовать в полном отрыве в глубине обороны противника. Задача прорыва обороны противника возлагалась на стрелковые части, и только потом, в образовавшиеся в обороне противника разрывы, должны были вводиться в прорыв танковые части. Танковым корпусам ставилась задача продвинуться в глубину обороны противника на 150-350 км, преодолевая за сутки 45-75 км.  Такие стремительные действия танковых соединений должны были нарушить работу тыла и важных коммуникаций противника. </w:t>
      </w:r>
    </w:p>
    <w:p>
      <w:pPr>
        <w:pStyle w:val="Normal"/>
        <w:spacing w:lineRule="auto" w:line="240" w:before="0" w:after="0"/>
        <w:ind w:firstLine="709"/>
        <w:jc w:val="both"/>
        <w:rPr/>
      </w:pPr>
      <w:r>
        <w:rPr>
          <w:rFonts w:cs="Times New Roman" w:ascii="Times New Roman" w:hAnsi="Times New Roman"/>
          <w:color w:val="000000"/>
          <w:sz w:val="24"/>
          <w:szCs w:val="24"/>
        </w:rPr>
        <w:t>Операция «Малый Сатурн» началась 16 декабря 1942. В ходе наступления оборона противника была прорвана и советские танковые корпуса, развивая наступление, устремились вперёд. Одним из танковых корпусов, устремившихся в прорыв, был 24-й танковый корпус под командованием генерал-майора В.М.Баданова.</w:t>
      </w:r>
    </w:p>
    <w:p>
      <w:pPr>
        <w:pStyle w:val="Normal"/>
        <w:spacing w:lineRule="auto" w:line="240" w:before="0" w:after="0"/>
        <w:ind w:firstLine="709"/>
        <w:jc w:val="both"/>
        <w:rPr/>
      </w:pPr>
      <w:r>
        <w:rPr>
          <w:rFonts w:cs="Times New Roman" w:ascii="Times New Roman" w:hAnsi="Times New Roman"/>
          <w:color w:val="000000"/>
          <w:sz w:val="24"/>
          <w:szCs w:val="24"/>
        </w:rPr>
        <w:t>В соответствии с приказом командующего Юго-Западным фронтом 24-й танковый корпус должен был вводиться в прорыв с Осетровского плацдарма, после прорыва линии обороны противника 4-м гвардейским стрелковым корпусом за 18-м и 25-м танковыми корпусами. Перед корпусом была поставлена задача - развивать наступление в направлении Твердохлебово, Маньково-Калитвенская, Дёгтево, Никольская, Криворожье, Большинка, Скосырская, Тацинская. К концу первого дня корпус должен был выйти в район Твердохлебово, Расковка, Лофицкое преодолев 25-30 км. К исходу второго дня корпусу предписывалось выйти в район Дёгтево (120 км), к исходу третьего - Ильинка, Покровка, Большинка (190-200 км), к исходу четвёртого дня - Апанаскино, Тацинская, Михайлов (230-240 км). Начало переправы частей корпуса через Дон было назначено на 11.00 16 декабря 1942 года [4, с. 120].</w:t>
      </w:r>
      <w:r>
        <w:rPr>
          <w:rFonts w:ascii="Times New Roman" w:hAnsi="Times New Roman"/>
          <w:sz w:val="24"/>
          <w:szCs w:val="24"/>
          <w:lang w:eastAsia="ru-RU"/>
        </w:rPr>
        <w:t xml:space="preserve"> </w:t>
      </w:r>
    </w:p>
    <w:p>
      <w:pPr>
        <w:pStyle w:val="Normal"/>
        <w:spacing w:lineRule="auto" w:line="240" w:before="0" w:after="0"/>
        <w:ind w:firstLine="709"/>
        <w:jc w:val="both"/>
        <w:rPr/>
      </w:pPr>
      <w:r>
        <w:rPr>
          <w:rFonts w:cs="Times New Roman" w:ascii="Times New Roman" w:hAnsi="Times New Roman"/>
          <w:b/>
          <w:color w:val="000000"/>
          <w:sz w:val="24"/>
          <w:szCs w:val="24"/>
        </w:rPr>
        <w:t>Задачи</w:t>
      </w:r>
      <w:r>
        <w:rPr>
          <w:rFonts w:cs="Times New Roman" w:ascii="Times New Roman" w:hAnsi="Times New Roman"/>
          <w:color w:val="000000"/>
          <w:sz w:val="24"/>
          <w:szCs w:val="24"/>
        </w:rPr>
        <w:t xml:space="preserve"> </w:t>
      </w:r>
      <w:r>
        <w:rPr>
          <w:rFonts w:cs="Times New Roman" w:ascii="Times New Roman" w:hAnsi="Times New Roman"/>
          <w:b/>
          <w:color w:val="000000"/>
          <w:sz w:val="24"/>
          <w:szCs w:val="24"/>
        </w:rPr>
        <w:t>Тацинского танкового рейда</w:t>
      </w:r>
    </w:p>
    <w:p>
      <w:pPr>
        <w:pStyle w:val="Normal"/>
        <w:spacing w:lineRule="auto" w:line="240" w:before="0" w:after="0"/>
        <w:ind w:firstLine="709"/>
        <w:jc w:val="both"/>
        <w:rPr/>
      </w:pPr>
      <w:r>
        <w:rPr>
          <w:rFonts w:cs="Times New Roman" w:ascii="Times New Roman" w:hAnsi="Times New Roman"/>
          <w:color w:val="000000"/>
          <w:sz w:val="24"/>
          <w:szCs w:val="24"/>
        </w:rPr>
        <w:t>Прорыв 24-го танкового корпуса в ходе операции «Малый Сатурн» в декабре 1942 года в глубину обороны противника получил назва</w:t>
      </w:r>
      <w:r>
        <w:drawing>
          <wp:anchor behindDoc="0" distT="0" distB="0" distL="114300" distR="114300" simplePos="0" locked="0" layoutInCell="0" allowOverlap="1" relativeHeight="6">
            <wp:simplePos x="0" y="0"/>
            <wp:positionH relativeFrom="column">
              <wp:posOffset>3333115</wp:posOffset>
            </wp:positionH>
            <wp:positionV relativeFrom="paragraph">
              <wp:posOffset>320675</wp:posOffset>
            </wp:positionV>
            <wp:extent cx="3010535" cy="1839595"/>
            <wp:effectExtent l="0" t="0" r="0" b="0"/>
            <wp:wrapTight wrapText="bothSides">
              <wp:wrapPolygon edited="0">
                <wp:start x="-20" y="0"/>
                <wp:lineTo x="-20" y="21357"/>
                <wp:lineTo x="21493" y="21357"/>
                <wp:lineTo x="21493" y="0"/>
                <wp:lineTo x="-20" y="0"/>
              </wp:wrapPolygon>
            </wp:wrapTight>
            <wp:docPr id="2" name="Рисунок 2" descr="https://topwar.ru/uploads/posts/2015-10/thumbs/1444611101_badan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https://topwar.ru/uploads/posts/2015-10/thumbs/1444611101_badanov.jpg"/>
                    <pic:cNvPicPr>
                      <a:picLocks noChangeAspect="1" noChangeArrowheads="1"/>
                    </pic:cNvPicPr>
                  </pic:nvPicPr>
                  <pic:blipFill>
                    <a:blip r:embed="rId4"/>
                    <a:stretch>
                      <a:fillRect/>
                    </a:stretch>
                  </pic:blipFill>
                  <pic:spPr bwMode="auto">
                    <a:xfrm>
                      <a:off x="0" y="0"/>
                      <a:ext cx="3010535" cy="1839595"/>
                    </a:xfrm>
                    <a:prstGeom prst="rect">
                      <a:avLst/>
                    </a:prstGeom>
                  </pic:spPr>
                </pic:pic>
              </a:graphicData>
            </a:graphic>
          </wp:anchor>
        </w:drawing>
      </w:r>
      <w:r>
        <w:rPr>
          <w:rFonts w:cs="Times New Roman" w:ascii="Times New Roman" w:hAnsi="Times New Roman"/>
          <w:color w:val="000000"/>
          <w:sz w:val="24"/>
          <w:szCs w:val="24"/>
        </w:rPr>
        <w:t>н</w:t>
      </w:r>
      <w:r>
        <w:rPr>
          <w:rFonts w:cs="Times New Roman" w:ascii="Times New Roman" w:hAnsi="Times New Roman"/>
          <w:color w:val="000000"/>
          <w:sz w:val="24"/>
          <w:szCs w:val="24"/>
        </w:rPr>
        <w:t>ие - Тацинский танковый рейд.</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drawing>
          <wp:anchor behindDoc="0" distT="0" distB="0" distL="114300" distR="114300" simplePos="0" locked="0" layoutInCell="0" allowOverlap="1" relativeHeight="5">
            <wp:simplePos x="0" y="0"/>
            <wp:positionH relativeFrom="column">
              <wp:posOffset>15240</wp:posOffset>
            </wp:positionH>
            <wp:positionV relativeFrom="paragraph">
              <wp:posOffset>22860</wp:posOffset>
            </wp:positionV>
            <wp:extent cx="3218180" cy="1866900"/>
            <wp:effectExtent l="0" t="0" r="0" b="0"/>
            <wp:wrapTight wrapText="bothSides">
              <wp:wrapPolygon edited="0">
                <wp:start x="-20" y="0"/>
                <wp:lineTo x="-20" y="21360"/>
                <wp:lineTo x="21451" y="21360"/>
                <wp:lineTo x="21451" y="0"/>
                <wp:lineTo x="-20" y="0"/>
              </wp:wrapPolygon>
            </wp:wrapTight>
            <wp:docPr id="3" name="Рисунок 3" descr="https://topwar.ru/uploads/posts/2015-10/thumbs/1444611041_taci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https://topwar.ru/uploads/posts/2015-10/thumbs/1444611041_tacin3.jpg"/>
                    <pic:cNvPicPr>
                      <a:picLocks noChangeAspect="1" noChangeArrowheads="1"/>
                    </pic:cNvPicPr>
                  </pic:nvPicPr>
                  <pic:blipFill>
                    <a:blip r:embed="rId5"/>
                    <a:stretch>
                      <a:fillRect/>
                    </a:stretch>
                  </pic:blipFill>
                  <pic:spPr bwMode="auto">
                    <a:xfrm>
                      <a:off x="0" y="0"/>
                      <a:ext cx="3218180" cy="1866900"/>
                    </a:xfrm>
                    <a:prstGeom prst="rect">
                      <a:avLst/>
                    </a:prstGeom>
                  </pic:spPr>
                </pic:pic>
              </a:graphicData>
            </a:graphic>
          </wp:anchor>
        </w:drawing>
      </w:r>
    </w:p>
    <w:p>
      <w:pPr>
        <w:pStyle w:val="Normal"/>
        <w:spacing w:lineRule="auto" w:line="240" w:before="0" w:after="0"/>
        <w:ind w:firstLine="709"/>
        <w:jc w:val="both"/>
        <w:rPr/>
      </w:pPr>
      <w:r>
        <w:rPr>
          <w:rFonts w:cs="Times New Roman" w:ascii="Times New Roman" w:hAnsi="Times New Roman"/>
          <w:sz w:val="24"/>
          <w:szCs w:val="24"/>
        </w:rPr>
        <w:t xml:space="preserve">Действия 24-го танкового корпуса во время операции «Малый Сатурн» принято называть в военной терминологии рейдом, так как корпус генерала Баданова представлял собой подвижную танковую группу, которая глубоко проникла в тылы противника и выполняла ряд специальных задач.  Действия корпуса нарушали работу вражеских линий связи, баз снабжения, аэродромов, железных дорог, что вело к дезорганизации тыла и управлению войсками. Необходимость в горючем для танков и автомашин заставляла для обеспечения их подвоза захватывать и удерживать некоторые населённые пункты. Но основные действия корпуса были направлены не на преследование противника и захват опорных пунктов, а на проникновение в оперативную глубину обороны противника и выхода в район Тацинской. Несмотря на то, что сделано это было не на четвёртый день, как планировалось, а только на восьмой, рейд 24-го танкового корпуса генерала Баданова был успешным и достиг своей цели. Задача, поставленная перед корпусом, была выполнена. Кроме того, в Тацинской находилась крупная немецкая авиационная база, с которой осуществлялось снабжение немецкой группировки под Сталинградом в ходе так называемого «воздушного моста». Разгром этой авиабазы 24-м танковым корпусом серьёзно осложнил работу воздушного моста. За боевые заслуги во время рейда и разгром немецкой авиабазы 24-й танковый корпус получил звание - гвардейский и почётное наименование Тацинский, став 2-м гвардейским Тацинским танковым корпусом. </w:t>
      </w:r>
    </w:p>
    <w:p>
      <w:pPr>
        <w:pStyle w:val="Normal"/>
        <w:spacing w:lineRule="auto" w:line="240" w:before="0" w:after="0"/>
        <w:ind w:firstLine="709"/>
        <w:jc w:val="both"/>
        <w:rPr/>
      </w:pPr>
      <w:r>
        <w:rPr>
          <w:rFonts w:cs="Times New Roman" w:ascii="Times New Roman" w:hAnsi="Times New Roman"/>
          <w:sz w:val="24"/>
          <w:szCs w:val="24"/>
        </w:rPr>
        <w:t xml:space="preserve">Верховный Совет и Советское Верховное главнокомандование отметили героизм частей 24-го танкового корпуса, их доблестное сопротивление до конца и беспримерный танковый рейд в глубоком немецком тылу, которые стали замечательным примером для всей остальной Красной Армии. За время своего рейда 24-й танковый корпус отчитался об уничтожении 11292 солдат и офицеров противника, было взято в плен 4769 человек, подбито 84 танка, уничтожено 106 орудий. Только в районе Тацинской было уничтожено до 10 батарей противника. После Тацинского рейда в войсках появилась шутка о том, что лучшим средством для борьбы с немецкой авиацией являются гусеницы танков </w:t>
      </w:r>
      <w:r>
        <w:rPr>
          <w:rFonts w:cs="Times New Roman" w:ascii="Times New Roman" w:hAnsi="Times New Roman"/>
          <w:color w:val="000000"/>
          <w:sz w:val="24"/>
          <w:szCs w:val="24"/>
        </w:rPr>
        <w:t>[5, с. 50]</w:t>
      </w:r>
      <w:r>
        <w:rPr>
          <w:rFonts w:cs="Times New Roman" w:ascii="Times New Roman" w:hAnsi="Times New Roman"/>
          <w:sz w:val="24"/>
          <w:szCs w:val="24"/>
        </w:rPr>
        <w:t>.</w:t>
      </w:r>
    </w:p>
    <w:p>
      <w:pPr>
        <w:pStyle w:val="Normal"/>
        <w:spacing w:lineRule="auto" w:line="240" w:before="0" w:after="0"/>
        <w:ind w:firstLine="709"/>
        <w:jc w:val="both"/>
        <w:rPr/>
      </w:pPr>
      <w:r>
        <w:drawing>
          <wp:anchor behindDoc="0" distT="0" distB="0" distL="114300" distR="114300" simplePos="0" locked="0" layoutInCell="0" allowOverlap="1" relativeHeight="4">
            <wp:simplePos x="0" y="0"/>
            <wp:positionH relativeFrom="column">
              <wp:posOffset>2672715</wp:posOffset>
            </wp:positionH>
            <wp:positionV relativeFrom="paragraph">
              <wp:posOffset>1448435</wp:posOffset>
            </wp:positionV>
            <wp:extent cx="3326130" cy="2178685"/>
            <wp:effectExtent l="0" t="0" r="0" b="0"/>
            <wp:wrapTight wrapText="bothSides">
              <wp:wrapPolygon edited="0">
                <wp:start x="-20" y="0"/>
                <wp:lineTo x="-20" y="21390"/>
                <wp:lineTo x="21496" y="21390"/>
                <wp:lineTo x="21496" y="0"/>
                <wp:lineTo x="-20" y="0"/>
              </wp:wrapPolygon>
            </wp:wrapTight>
            <wp:docPr id="4" name="Рисунок 4" descr="https://topwar.ru/uploads/posts/2015-10/thumbs/1444611056_taci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https://topwar.ru/uploads/posts/2015-10/thumbs/1444611056_tacin2.jpg"/>
                    <pic:cNvPicPr>
                      <a:picLocks noChangeAspect="1" noChangeArrowheads="1"/>
                    </pic:cNvPicPr>
                  </pic:nvPicPr>
                  <pic:blipFill>
                    <a:blip r:embed="rId6"/>
                    <a:stretch>
                      <a:fillRect/>
                    </a:stretch>
                  </pic:blipFill>
                  <pic:spPr bwMode="auto">
                    <a:xfrm>
                      <a:off x="0" y="0"/>
                      <a:ext cx="3326130" cy="2178685"/>
                    </a:xfrm>
                    <a:prstGeom prst="rect">
                      <a:avLst/>
                    </a:prstGeom>
                  </pic:spPr>
                </pic:pic>
              </a:graphicData>
            </a:graphic>
          </wp:anchor>
        </w:drawing>
      </w:r>
      <w:r>
        <w:rPr>
          <w:rFonts w:cs="Times New Roman" w:ascii="Times New Roman" w:hAnsi="Times New Roman"/>
          <w:sz w:val="24"/>
          <w:szCs w:val="24"/>
        </w:rPr>
        <w:t>С</w:t>
      </w:r>
      <w:r>
        <w:rPr>
          <w:rFonts w:cs="Times New Roman" w:ascii="Times New Roman" w:hAnsi="Times New Roman"/>
          <w:sz w:val="24"/>
          <w:szCs w:val="24"/>
        </w:rPr>
        <w:t>ам же Василий Баданов в итоге дослужился до генерал-лейтенанта. Через два года вовремя Львовско-Сандомирской наступательной операции он получил тяжелое ранение и контузию. После излечения в августе 1944 года генерал-лейтенант Василий Баданов был назначен на должность начальника управления военно-учебных заведений Главного управления формирования и боевой подготовки бронетанковых и механизированных войск Советских Армии. Так произошло возвращение боевого генерала к педагогической деятельности.</w:t>
      </w:r>
    </w:p>
    <w:p>
      <w:pPr>
        <w:pStyle w:val="Normal"/>
        <w:spacing w:lineRule="auto" w:line="240" w:before="0" w:after="0"/>
        <w:ind w:firstLine="709"/>
        <w:jc w:val="center"/>
        <w:rPr/>
      </w:pPr>
      <w:r>
        <w:rPr/>
        <w:drawing>
          <wp:inline distT="0" distB="0" distL="0" distR="0">
            <wp:extent cx="4371975" cy="2868930"/>
            <wp:effectExtent l="0" t="0" r="0" b="0"/>
            <wp:docPr id="5" name="Рисунок 5" descr="https://topwar.ru/uploads/posts/2015-10/thumbs/1444611031_tac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https://topwar.ru/uploads/posts/2015-10/thumbs/1444611031_tacina.jpg"/>
                    <pic:cNvPicPr>
                      <a:picLocks noChangeAspect="1" noChangeArrowheads="1"/>
                    </pic:cNvPicPr>
                  </pic:nvPicPr>
                  <pic:blipFill>
                    <a:blip r:embed="rId7"/>
                    <a:stretch>
                      <a:fillRect/>
                    </a:stretch>
                  </pic:blipFill>
                  <pic:spPr bwMode="auto">
                    <a:xfrm>
                      <a:off x="0" y="0"/>
                      <a:ext cx="4371975" cy="2868930"/>
                    </a:xfrm>
                    <a:prstGeom prst="rect">
                      <a:avLst/>
                    </a:prstGeom>
                  </pic:spPr>
                </pic:pic>
              </a:graphicData>
            </a:graphic>
          </wp:inline>
        </w:drawing>
      </w:r>
    </w:p>
    <w:p>
      <w:pPr>
        <w:pStyle w:val="Normal"/>
        <w:spacing w:lineRule="auto" w:line="240" w:before="0" w:after="0"/>
        <w:ind w:firstLine="709"/>
        <w:jc w:val="center"/>
        <w:rPr/>
      </w:pPr>
      <w:r>
        <w:rPr>
          <w:rFonts w:cs="Times New Roman" w:ascii="Times New Roman" w:hAnsi="Times New Roman"/>
          <w:sz w:val="24"/>
          <w:szCs w:val="24"/>
        </w:rPr>
        <w:t>Памятник-мемориал «Прорыв» в ст</w:t>
      </w:r>
      <w:bookmarkStart w:id="0" w:name="_GoBack"/>
      <w:bookmarkEnd w:id="0"/>
      <w:r>
        <w:rPr>
          <w:rFonts w:cs="Times New Roman" w:ascii="Times New Roman" w:hAnsi="Times New Roman"/>
          <w:sz w:val="24"/>
          <w:szCs w:val="24"/>
        </w:rPr>
        <w:t>анице Тацинской</w:t>
      </w:r>
    </w:p>
    <w:p>
      <w:pPr>
        <w:pStyle w:val="Normal"/>
        <w:jc w:val="center"/>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b/>
          <w:bCs/>
          <w:sz w:val="24"/>
          <w:szCs w:val="24"/>
        </w:rPr>
        <w:t>Библиографический список</w:t>
      </w:r>
    </w:p>
    <w:p>
      <w:pPr>
        <w:pStyle w:val="Normal"/>
        <w:jc w:val="center"/>
        <w:rPr>
          <w:rFonts w:ascii="Times New Roman" w:hAnsi="Times New Roman"/>
        </w:rPr>
      </w:pPr>
      <w:r>
        <w:rPr>
          <w:rFonts w:ascii="Times New Roman" w:hAnsi="Times New Roman"/>
        </w:rPr>
      </w:r>
    </w:p>
    <w:p>
      <w:pPr>
        <w:pStyle w:val="Style21"/>
        <w:numPr>
          <w:ilvl w:val="0"/>
          <w:numId w:val="0"/>
        </w:numPr>
        <w:spacing w:lineRule="auto" w:line="240" w:before="0" w:after="140"/>
        <w:ind w:left="790" w:hanging="0"/>
        <w:jc w:val="left"/>
        <w:rPr/>
      </w:pPr>
      <w:r>
        <w:rPr>
          <w:rFonts w:ascii="Times New Roman" w:hAnsi="Times New Roman"/>
          <w:sz w:val="24"/>
          <w:szCs w:val="24"/>
        </w:rPr>
        <w:t xml:space="preserve">1. Лелюшенко Д.Д. Москва – Сталинград – Берлин – Прага: Записки командарма. – М.: Наука, 1971. – 390 с.                                                                                                    2. Самсонов А.М. Сталинградская битва: Героическим участникам Сталинградской битвы посвящается. –2-е изд., доп. и переработанное. – М.: Наука, 1968. – 590 с.                                                                                                                     3. Операция «Малый Сатурн». – Ростов н-Д: Ростиздат, 1973. – 340 с.                                         4. Васильев Н.И. Тацинский рейд / Худож. А.А. Беслик. – М.: Воениздат, 1969. – 128 с. – (Серия «Героическое прошлое нашей Родины»?).                                                       5. Исаев А.Н. Танки уходят в бой. Тацинцы. – Ростов н-Д.: Рост. кн. Изд-во, 1969. – 98 с. </w:t>
      </w:r>
    </w:p>
    <w:sectPr>
      <w:type w:val="nextPage"/>
      <w:pgSz w:w="11906" w:h="16838"/>
      <w:pgMar w:left="1701" w:right="851" w:header="0" w:top="1134" w:footer="0" w:bottom="851"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roman"/>
    <w:pitch w:val="variable"/>
  </w:font>
  <w:font w:name="Times New Roman">
    <w:charset w:val="cc"/>
    <w:family w:val="roman"/>
    <w:pitch w:val="variable"/>
  </w:font>
  <w:font w:name="Arial">
    <w:altName w:val="Helvetica"/>
    <w:charset w:val="cc"/>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d1623"/>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сноски Знак"/>
    <w:basedOn w:val="DefaultParagraphFont"/>
    <w:link w:val="a3"/>
    <w:uiPriority w:val="99"/>
    <w:semiHidden/>
    <w:qFormat/>
    <w:rsid w:val="00cd1623"/>
    <w:rPr>
      <w:sz w:val="20"/>
      <w:szCs w:val="20"/>
    </w:rPr>
  </w:style>
  <w:style w:type="character" w:styleId="Style15">
    <w:name w:val="Привязка сноски"/>
    <w:rPr>
      <w:vertAlign w:val="superscript"/>
    </w:rPr>
  </w:style>
  <w:style w:type="character" w:styleId="FootnoteCharacters">
    <w:name w:val="Footnote Characters"/>
    <w:basedOn w:val="DefaultParagraphFont"/>
    <w:uiPriority w:val="99"/>
    <w:semiHidden/>
    <w:unhideWhenUsed/>
    <w:qFormat/>
    <w:rsid w:val="00cd1623"/>
    <w:rPr>
      <w:vertAlign w:val="superscript"/>
    </w:rPr>
  </w:style>
  <w:style w:type="character" w:styleId="Style16">
    <w:name w:val="Символ сноски"/>
    <w:qFormat/>
    <w:rPr/>
  </w:style>
  <w:style w:type="character" w:styleId="Style17">
    <w:name w:val="Привязка концевой сноски"/>
    <w:rPr>
      <w:vertAlign w:val="superscript"/>
    </w:rPr>
  </w:style>
  <w:style w:type="character" w:styleId="Style18">
    <w:name w:val="Символ концевой сноски"/>
    <w:qFormat/>
    <w:rPr/>
  </w:style>
  <w:style w:type="character" w:styleId="Appleconvertedspace">
    <w:name w:val="apple-converted-space"/>
    <w:basedOn w:val="DefaultParagraphFont"/>
    <w:qFormat/>
    <w:rPr/>
  </w:style>
  <w:style w:type="character" w:styleId="Style19">
    <w:name w:val="Интернет-ссылка"/>
    <w:rPr>
      <w:color w:val="000080"/>
      <w:u w:val="single"/>
      <w:lang w:val="zxx" w:eastAsia="zxx" w:bidi="zxx"/>
    </w:rPr>
  </w:style>
  <w:style w:type="paragraph" w:styleId="Style20">
    <w:name w:val="Заголовок"/>
    <w:basedOn w:val="Normal"/>
    <w:next w:val="Style21"/>
    <w:qFormat/>
    <w:pPr>
      <w:keepNext w:val="true"/>
      <w:spacing w:before="240" w:after="120"/>
    </w:pPr>
    <w:rPr>
      <w:rFonts w:ascii="Liberation Sans" w:hAnsi="Liberation Sans" w:eastAsia="Microsoft YaHei" w:cs="Mangal"/>
      <w:sz w:val="28"/>
      <w:szCs w:val="28"/>
    </w:rPr>
  </w:style>
  <w:style w:type="paragraph" w:styleId="Style21">
    <w:name w:val="Body Text"/>
    <w:basedOn w:val="Normal"/>
    <w:pPr>
      <w:spacing w:lineRule="auto" w:line="276" w:before="0" w:after="140"/>
    </w:pPr>
    <w:rPr/>
  </w:style>
  <w:style w:type="paragraph" w:styleId="Style22">
    <w:name w:val="List"/>
    <w:basedOn w:val="Style21"/>
    <w:pPr/>
    <w:rPr>
      <w:rFonts w:cs="Mangal"/>
    </w:rPr>
  </w:style>
  <w:style w:type="paragraph" w:styleId="Style23">
    <w:name w:val="Caption"/>
    <w:basedOn w:val="Normal"/>
    <w:qFormat/>
    <w:pPr>
      <w:suppressLineNumbers/>
      <w:spacing w:before="120" w:after="120"/>
    </w:pPr>
    <w:rPr>
      <w:rFonts w:cs="Mangal"/>
      <w:i/>
      <w:iCs/>
      <w:sz w:val="24"/>
      <w:szCs w:val="24"/>
    </w:rPr>
  </w:style>
  <w:style w:type="paragraph" w:styleId="Style24">
    <w:name w:val="Указатель"/>
    <w:basedOn w:val="Normal"/>
    <w:qFormat/>
    <w:pPr>
      <w:suppressLineNumbers/>
    </w:pPr>
    <w:rPr>
      <w:rFonts w:cs="Mangal"/>
    </w:rPr>
  </w:style>
  <w:style w:type="paragraph" w:styleId="Style25">
    <w:name w:val="Footnote Text"/>
    <w:basedOn w:val="Normal"/>
    <w:link w:val="a4"/>
    <w:uiPriority w:val="99"/>
    <w:semiHidden/>
    <w:unhideWhenUsed/>
    <w:rsid w:val="00cd1623"/>
    <w:pPr>
      <w:spacing w:lineRule="auto" w:line="240" w:before="0" w:after="0"/>
    </w:pPr>
    <w:rPr>
      <w:sz w:val="20"/>
      <w:szCs w:val="20"/>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ergmeg@rambler.ru" TargetMode="External"/><Relationship Id="rId3" Type="http://schemas.openxmlformats.org/officeDocument/2006/relationships/image" Target="media/image1.jpeg"/><Relationship Id="rId4" Type="http://schemas.openxmlformats.org/officeDocument/2006/relationships/image" Target="media/image2.jpeg"/><Relationship Id="rId5" Type="http://schemas.openxmlformats.org/officeDocument/2006/relationships/image" Target="media/image3.jpeg"/><Relationship Id="rId6" Type="http://schemas.openxmlformats.org/officeDocument/2006/relationships/image" Target="media/image4.jpeg"/><Relationship Id="rId7" Type="http://schemas.openxmlformats.org/officeDocument/2006/relationships/image" Target="media/image5.jpeg"/><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Application>LibreOffice/7.0.3.1$Windows_X86_64 LibreOffice_project/d7547858d014d4cf69878db179d326fc3483e082</Application>
  <Pages>5</Pages>
  <Words>1400</Words>
  <Characters>9236</Characters>
  <CharactersWithSpaces>11755</CharactersWithSpaces>
  <Paragraphs>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2023-02-28T03:27:00Z</dcterms:created>
  <dc:creator>VIDEO</dc:creator>
  <dc:description/>
  <dc:language>ru-RU</dc:language>
  <cp:lastModifiedBy/>
  <dcterms:modified xsi:type="dcterms:W3CDTF">2024-09-03T20:08:29Z</dcterms:modified>
  <cp:revision>31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