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3FA4F">
      <w:pPr>
        <w:spacing w:after="0" w:line="276" w:lineRule="auto"/>
        <w:contextualSpacing/>
        <w:rPr>
          <w:rFonts w:eastAsia="Calibri" w:cs="Times New Roman"/>
          <w:b/>
          <w:sz w:val="24"/>
          <w:szCs w:val="22"/>
        </w:rPr>
      </w:pPr>
      <w:r>
        <w:rPr>
          <w:rFonts w:eastAsia="Calibri" w:cs="Times New Roman"/>
          <w:b/>
          <w:sz w:val="24"/>
          <w:szCs w:val="22"/>
        </w:rPr>
        <w:t>УДК 378.147:358                                                                                                     ГРНТ14.01.13</w:t>
      </w:r>
    </w:p>
    <w:p w14:paraId="130B4583">
      <w:pPr>
        <w:pStyle w:val="5"/>
        <w:wordWrap w:val="0"/>
        <w:spacing w:line="276" w:lineRule="auto"/>
        <w:ind w:right="4029"/>
        <w:jc w:val="right"/>
        <w:rPr>
          <w:rFonts w:eastAsia="Calibri" w:cs="Times New Roman"/>
          <w:sz w:val="24"/>
          <w:szCs w:val="22"/>
          <w:lang w:val="ru-RU"/>
        </w:rPr>
        <w:sectPr>
          <w:footerReference r:id="rId5" w:type="default"/>
          <w:type w:val="continuous"/>
          <w:pgSz w:w="11906" w:h="16838"/>
          <w:pgMar w:top="1134" w:right="1134" w:bottom="1134" w:left="1134" w:header="709" w:footer="709" w:gutter="0"/>
          <w:cols w:space="708" w:num="1"/>
          <w:docGrid w:linePitch="381" w:charSpace="0"/>
        </w:sectPr>
      </w:pPr>
    </w:p>
    <w:p w14:paraId="42B9EB54">
      <w:pPr>
        <w:pStyle w:val="5"/>
        <w:spacing w:line="276" w:lineRule="auto"/>
        <w:ind w:right="4029"/>
        <w:jc w:val="both"/>
        <w:rPr>
          <w:rFonts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</w:rPr>
      </w:pPr>
    </w:p>
    <w:p w14:paraId="149C4CCB">
      <w:pPr>
        <w:jc w:val="center"/>
        <w:rPr>
          <w:rFonts w:hint="default"/>
          <w:b/>
          <w:bCs/>
          <w:lang w:val="ru-RU"/>
        </w:rPr>
        <w:sectPr>
          <w:type w:val="continuous"/>
          <w:pgSz w:w="11906" w:h="16838"/>
          <w:pgMar w:top="1134" w:right="1134" w:bottom="1134" w:left="1134" w:header="709" w:footer="709" w:gutter="0"/>
          <w:cols w:space="708" w:num="1"/>
          <w:docGrid w:linePitch="381" w:charSpace="0"/>
        </w:sectPr>
      </w:pPr>
      <w:r>
        <w:rPr>
          <w:rFonts w:hint="default"/>
          <w:b/>
          <w:bCs/>
          <w:lang w:val="ru-RU"/>
        </w:rPr>
        <w:t>МЕХАНИЗМ ПОВЫШЕНИЯ КАЧЕСТВА И АКТУАЛЬНОСТИ ПРОФКЕССИОНАЛЬНОГО ОБРАЗОВАНИЯ</w:t>
      </w:r>
    </w:p>
    <w:p w14:paraId="2A9CB4E1">
      <w:pPr>
        <w:pStyle w:val="5"/>
        <w:spacing w:line="276" w:lineRule="auto"/>
        <w:ind w:right="4029"/>
        <w:jc w:val="right"/>
        <w:rPr>
          <w:rFonts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lang w:val="ru-RU"/>
        </w:rPr>
        <w:t xml:space="preserve">     </w:t>
      </w:r>
      <w:r>
        <w:rPr>
          <w:rFonts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</w:rPr>
        <w:t>В.Е. Деревянченко</w:t>
      </w:r>
    </w:p>
    <w:p w14:paraId="043CCA7B">
      <w:pPr>
        <w:spacing w:line="276" w:lineRule="auto"/>
        <w:rPr>
          <w:rFonts w:eastAsia="Times New Roman" w:cs="Times New Roman"/>
          <w:i/>
          <w:color w:val="000000"/>
          <w:sz w:val="24"/>
          <w:lang w:eastAsia="ru-RU"/>
        </w:rPr>
      </w:pPr>
      <w:r>
        <w:rPr>
          <w:i/>
          <w:sz w:val="24"/>
        </w:rPr>
        <w:t xml:space="preserve">преподаватель, </w:t>
      </w:r>
      <w:r>
        <w:rPr>
          <w:rFonts w:eastAsia="Times New Roman" w:cs="Times New Roman"/>
          <w:i/>
          <w:color w:val="000000"/>
          <w:sz w:val="24"/>
          <w:lang w:eastAsia="ru-RU"/>
        </w:rPr>
        <w:t>Военный институт (инженерно-технический), г. Санкт-Петербург</w:t>
      </w:r>
    </w:p>
    <w:p w14:paraId="13E33151">
      <w:pPr>
        <w:spacing w:line="276" w:lineRule="auto"/>
        <w:rPr>
          <w:rFonts w:eastAsia="Times New Roman" w:cs="Times New Roman"/>
          <w:i/>
          <w:color w:val="000000"/>
          <w:sz w:val="24"/>
          <w:lang w:eastAsia="ru-RU"/>
        </w:rPr>
      </w:pPr>
      <w:bookmarkStart w:id="0" w:name="_GoBack"/>
      <w:bookmarkEnd w:id="0"/>
    </w:p>
    <w:p w14:paraId="42B4F752">
      <w:pPr>
        <w:spacing w:after="0" w:line="276" w:lineRule="auto"/>
        <w:ind w:firstLine="709"/>
        <w:contextualSpacing/>
        <w:jc w:val="both"/>
        <w:rPr>
          <w:rFonts w:eastAsia="Calibri" w:cs="Times New Roman"/>
          <w:i/>
          <w:sz w:val="24"/>
          <w:szCs w:val="22"/>
        </w:rPr>
      </w:pPr>
      <w:r>
        <w:rPr>
          <w:rFonts w:eastAsia="Calibri" w:cs="Times New Roman"/>
          <w:b/>
          <w:i/>
          <w:sz w:val="24"/>
          <w:szCs w:val="22"/>
        </w:rPr>
        <w:t>Аннотация.</w:t>
      </w:r>
      <w:r>
        <w:rPr>
          <w:rFonts w:eastAsia="Calibri" w:cs="Times New Roman"/>
          <w:i/>
          <w:sz w:val="24"/>
          <w:szCs w:val="22"/>
        </w:rPr>
        <w:t xml:space="preserve"> В статье рассматриваются современные подходы и механизмы социального партнерства в системе профессионального образования. Актуальность темы обусловлена необходимостью повышения качества образования и его соответствия потребностям рынка труда. Социальное партнерство, выступающее как взаимодействие образовательных учреждений с работодателями, государственными и общественными организациями, представляет собой ключевой механизм адаптации образовательных программ к современным экономическим и социальным условиям.</w:t>
      </w:r>
    </w:p>
    <w:p w14:paraId="3380D3D7">
      <w:pPr>
        <w:spacing w:after="0" w:line="276" w:lineRule="auto"/>
        <w:ind w:firstLine="709"/>
        <w:contextualSpacing/>
        <w:jc w:val="both"/>
        <w:rPr>
          <w:rFonts w:eastAsia="Calibri" w:cs="Times New Roman"/>
          <w:i/>
          <w:sz w:val="24"/>
          <w:szCs w:val="22"/>
        </w:rPr>
      </w:pPr>
      <w:r>
        <w:rPr>
          <w:rFonts w:eastAsia="Calibri" w:cs="Times New Roman"/>
          <w:i/>
          <w:sz w:val="24"/>
          <w:szCs w:val="22"/>
        </w:rPr>
        <w:t>Автор подчёркивает значимость непрерывного диалога между всеми участниками образовательного процесса для достижения устойчивого развития системы профессионального образования. Также обсуждаются перспективы и вызовы, связанные с внедрением социального партнерства, включая необходимость обновления нормативной базы и развития инфраструктуры.</w:t>
      </w:r>
    </w:p>
    <w:p w14:paraId="704BAAC8">
      <w:pPr>
        <w:spacing w:after="0" w:line="276" w:lineRule="auto"/>
        <w:ind w:firstLine="709"/>
        <w:contextualSpacing/>
        <w:jc w:val="both"/>
        <w:rPr>
          <w:rFonts w:eastAsia="Calibri" w:cs="Times New Roman"/>
          <w:i/>
          <w:sz w:val="24"/>
          <w:szCs w:val="22"/>
        </w:rPr>
      </w:pPr>
      <w:r>
        <w:rPr>
          <w:rFonts w:eastAsia="Calibri" w:cs="Times New Roman"/>
          <w:b/>
          <w:i/>
          <w:sz w:val="24"/>
          <w:szCs w:val="22"/>
        </w:rPr>
        <w:t>Ключевые слова:</w:t>
      </w:r>
      <w:r>
        <w:rPr>
          <w:rFonts w:eastAsia="Calibri" w:cs="Times New Roman"/>
          <w:i/>
          <w:sz w:val="24"/>
          <w:szCs w:val="22"/>
        </w:rPr>
        <w:t xml:space="preserve"> социальное партнерство, профессиональное образование, дуальное обучение, сетевое взаимодействие, работодатели. </w:t>
      </w:r>
    </w:p>
    <w:p w14:paraId="21E3A608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Современное общество и экономика требуют, чтобы система профессионального образования была гибкой и могла быстро адаптироваться к меняющимся условиям рынка труда. Одним из ключевых механизмов повышения качества и актуальности профессионального образования является социальное партнерство. Взаимодействие образовательных учреждений с работодателями, государственными и общественными организациями становится неотъемлемой частью образовательного процесса по подготовке квалифицированных и востребованных специалистов.</w:t>
      </w:r>
    </w:p>
    <w:p w14:paraId="35653F9F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Социальное партнерство в профессиональном образовании включает в себя различные формы сотрудничества, такие как дуальное обучение, участие работодателей в разработке и обновлении образовательных программ, совместные научные проекты, стажировки и стажировки студентов. Эти механизмы позволяют образовательным учреждениям лучше реагировать на потребности работодателей и обеспечивать студентов практическими навыками и знаниями, необходимыми для успешной профессиональной карьеры [3].</w:t>
      </w:r>
    </w:p>
    <w:p w14:paraId="084691E1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В условиях глобализации и стремительного технологического прогресса изучение и внедрение прогрессивной практики социального партнерства в разных странах и регионах приобретает особую актуальность. Анализ успешных примеров такого сотрудничества может стать основой для разработки эффективных стратегий и моделей взаимодействия в отечественной системе профессионального образования.</w:t>
      </w:r>
    </w:p>
    <w:p w14:paraId="1657136C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Данная статья посвящена рассмотрению современных подходов и механизмов социального партнерства в системе профессионального образования. Цель работы – выявить наиболее эффективные формы взаимодействия образовательных учреждений и работодателей и проанализировать их влияние на качество подготовки специалистов.</w:t>
      </w:r>
    </w:p>
    <w:p w14:paraId="2590CFEE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Современное общество и экономика требуют, чтобы система профессионального образования была гибкой и могла быстро адаптироваться к меняющимся условиям рынка труда. Одним из ключевых механизмов повышения качества и актуальности профессионального образования является социальное партнерство. Взаимодействие образовательных учреждений с работодателями, государственными и общественными организациями становится неотъемлемой частью образовательного процесса по подготовке квалифицированных и востребованных специалистов.</w:t>
      </w:r>
    </w:p>
    <w:p w14:paraId="3F85B20E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Социальное партнерство представляет собой системное взаимодействие между образовательными учреждениями, работодателями, государственными и общественными организациями, направленное на решение задач, связанных с подготовкой кадров, соответствующих требованиям современного рынка труда. Основные цели социального партнерства включают [2]:</w:t>
      </w:r>
    </w:p>
    <w:p w14:paraId="070C9FB3">
      <w:pPr>
        <w:numPr>
          <w:ilvl w:val="0"/>
          <w:numId w:val="1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Повышение качества образования: Обеспечение соответствия образовательных программ потребностям работодателей и рынку труда.</w:t>
      </w:r>
    </w:p>
    <w:p w14:paraId="0A575CFD">
      <w:pPr>
        <w:numPr>
          <w:ilvl w:val="0"/>
          <w:numId w:val="1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Адаптация к изменениям: Быстрая реакция на изменения в экономике и технологиях.</w:t>
      </w:r>
    </w:p>
    <w:p w14:paraId="549709E9">
      <w:pPr>
        <w:numPr>
          <w:ilvl w:val="0"/>
          <w:numId w:val="1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Развитие практических навыков: Предоставление студентам возможности получить практические навыки и опыт работы.</w:t>
      </w:r>
    </w:p>
    <w:p w14:paraId="41640BBB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Рассмотрим различные модели и формы социального партнерства.</w:t>
      </w:r>
    </w:p>
    <w:p w14:paraId="3622E7D7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Дуальное обучение: данная модель представляет собой сочетание теоретического обучения в учебных заведениях и практического обучения на рабочем месте. Одним из примеров является система дуального образования в Германии, где студенты проводят большую часть своего времени в компаниях и, таким образом, могут приобрести практические навыки и знания, которые они могут применить непосредственно в своей будущей профессиональной деятельности.</w:t>
      </w:r>
    </w:p>
    <w:p w14:paraId="7424F3F3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Сеть: Образовательные учреждения создают сети с работодателями и другими организациями для обмена опытом, ресурсами и знаниями. К таким сетям могут относиться кластеры и консорциумы, работающие над совместными проектами и образовательными программами [4].</w:t>
      </w:r>
    </w:p>
    <w:p w14:paraId="48AFB11B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Участие работодателей в разработке образовательных программ: Работодатели активно участвуют в создании и обновлении образовательных стандартов и программ, обеспечивая их актуальность и соответствие потребностям рынка труда. Это может включать участие в рабочих группах и предоставление экспертных знаний и ресурсов.</w:t>
      </w:r>
    </w:p>
    <w:p w14:paraId="172A2E01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Стажировки и стажировки: Организация стажировок и стажировок для студентов в компаниях и компаниях позволяет им получить реальный опыт работы и понять требования работодателей. Это также облегчает установление профессиональных контактов и возможное трудоустройство после завершения обучения.</w:t>
      </w:r>
    </w:p>
    <w:p w14:paraId="4833A3FF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Совместные исследовательские проекты: Образовательные учреждения и компании вместе работают над исследовательскими проектами, что позволяет студентам и преподавателям участвовать в инновационных разработках и применении научных достижений на практике.</w:t>
      </w:r>
    </w:p>
    <w:p w14:paraId="002739FE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Существуют различные механизмы финансирования и поддержки. К ним можно отнести [1]:</w:t>
      </w:r>
    </w:p>
    <w:p w14:paraId="7BE87C44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Государственная поддержка: Государственные программы и гранты могут предоставлять финансирование для развития социального партнерства, создания инфраструктуры и реализации совместных проектов.</w:t>
      </w:r>
    </w:p>
    <w:p w14:paraId="20F44959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Финансирование со стороны бизнеса: Компании могут инвестировать в образовательные программы и проекты, предоставлять оборудование и ресурсы для учебных заведений, а также финансировать стажировки и практики.</w:t>
      </w:r>
    </w:p>
    <w:p w14:paraId="56AE9ACC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Публично-частное партнерство (ПЧП): Механизм, при котором государство и бизнес совместно финансируют и реализуют проекты в области профессионального образования. Это позволяет эффективно использовать ресурсы и обеспечивать устойчивое развитие образовательных инициатив.</w:t>
      </w:r>
    </w:p>
    <w:p w14:paraId="0375582F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Рассмотри примеры успешных практик в разных странах. </w:t>
      </w:r>
    </w:p>
    <w:p w14:paraId="47C4AEE8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Германия: Дуальная система профессионального образования, в которой студенты совмещают обучение в учебных заведениях с работой на предприятиях, что позволяет им приобретать практические навыки и опыт.</w:t>
      </w:r>
    </w:p>
    <w:p w14:paraId="5F76DE16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Швейцария: Модель социального партнерства, включающая тесное сотрудничество между образовательными учреждениями, работодателями и государственными органами. Работодатели активно участвуют в разработке учебных программ и предоставляют стажировки для студентов [4].</w:t>
      </w:r>
    </w:p>
    <w:p w14:paraId="6E32C9BB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Финляндия: Образовательные кластеры и консорциумы, объединяющие образовательные учреждения, компании и научно-исследовательские организации. Эти структуры работают над совместными проектами и образовательными программами, что способствует инновациям и улучшению качества образования.</w:t>
      </w:r>
    </w:p>
    <w:p w14:paraId="2D71FFAC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Перспективы развития социального партнерства в профессиональном образовании включают [5]:</w:t>
      </w:r>
    </w:p>
    <w:p w14:paraId="096A432D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Укрепление связи между образованием и производством: Совместная работа образовательных учреждений и работодателей способствует созданию образовательных программ, соответствующих реальным потребностям рынка труда.</w:t>
      </w:r>
    </w:p>
    <w:p w14:paraId="4C9FD915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Расширение международного сотрудничества: Обмен опытом и передовыми практиками с зарубежными партнерами позволяет улучшать качество образования и адаптировать его к глобальным требованиям.</w:t>
      </w:r>
    </w:p>
    <w:p w14:paraId="2B57DC43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Инновации и технологическое развитие: Совместные исследовательские проекты и внедрение новых технологий способствуют развитию инновационных подходов в образовании и подготовке кадров.</w:t>
      </w:r>
    </w:p>
    <w:p w14:paraId="64A9C3D0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Однако существуют и вызовы, которые необходимо преодолеть для успешного развития социального партнерства:</w:t>
      </w:r>
    </w:p>
    <w:p w14:paraId="5FC9FBB8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Необходимость обновления нормативной базы: Законодательство должно поддерживать и стимулировать развитие социального партнерства, обеспечивая гибкость и адаптивность образовательных программ.</w:t>
      </w:r>
    </w:p>
    <w:p w14:paraId="62CAB708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Развитие инфраструктуры: Образовательные учреждения и предприятия нуждаются в создании современной инфраструктуры для реализации совместных проектов и программ.</w:t>
      </w:r>
    </w:p>
    <w:p w14:paraId="15DC8B0C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Финансовая устойчивость: Обеспечение устойчивого финансирования социальных партнерских проектов требует координации усилий государства, бизнеса и образовательных учреждений.</w:t>
      </w:r>
    </w:p>
    <w:p w14:paraId="48CEF65E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Социальное партнерство в системе профессионального образования играет ключевую роль в подготовке квалифицированных и востребованных специалистов, соответствующих современным требованиям рынка труда. Успешное взаимодействие образовательных учреждений с работодателями, государственными и общественными организациями способствует повышению качества образования, укреплению связи между образованием и производством, а также инновационному развитию. Перспективы дальнейшего развития социального партнерства связаны с расширением международного сотрудничества, внедрением новых технологий и совершенствованием нормативной базы, что в конечном итоге будет способствовать социально-экономическому прогрессу общества.</w:t>
      </w:r>
    </w:p>
    <w:p w14:paraId="46CE5807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</w:p>
    <w:p w14:paraId="7513E340">
      <w:pPr>
        <w:spacing w:after="0" w:line="276" w:lineRule="auto"/>
        <w:ind w:firstLine="709"/>
        <w:contextualSpacing/>
        <w:jc w:val="center"/>
        <w:rPr>
          <w:rFonts w:eastAsia="Calibri" w:cs="Times New Roman"/>
          <w:b/>
          <w:sz w:val="24"/>
          <w:szCs w:val="22"/>
        </w:rPr>
      </w:pPr>
      <w:r>
        <w:rPr>
          <w:rFonts w:eastAsia="Calibri" w:cs="Times New Roman"/>
          <w:b/>
          <w:sz w:val="24"/>
          <w:szCs w:val="22"/>
        </w:rPr>
        <w:t>Список использованных источников</w:t>
      </w:r>
    </w:p>
    <w:p w14:paraId="1701FEDF">
      <w:pPr>
        <w:numPr>
          <w:ilvl w:val="0"/>
          <w:numId w:val="5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Васильченко Н. В. Анализ применения понятия «Социальное партнерство» в различных областях гуманитарного знания // Отечественная и зарубежная педагогика. 2023. №4. URL: https://cyberleninka.ru/article/n/analiz-primeneniya-ponyatiya-sotsialnoe-partnerstvo-v-razlichnyh-oblastyah-gumanitarnogo-znaniya (дата обращения: 26.05.2024).</w:t>
      </w:r>
    </w:p>
    <w:p w14:paraId="429B64CA">
      <w:pPr>
        <w:numPr>
          <w:ilvl w:val="0"/>
          <w:numId w:val="5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Веретенникова Вероника Борисовна Классификация видов социального партнерства в университетской подготовке будущих педагогов // Концепт. 2024. №2. URL: https://cyberleninka.ru/article/n/klassifikatsiya-vidov-sotsialnogo-partnerstva-v-universitetskoy-podgotovke-buduschih-pedagogov (дата обращения: 26.05.2024).</w:t>
      </w:r>
    </w:p>
    <w:p w14:paraId="5E766090">
      <w:pPr>
        <w:numPr>
          <w:ilvl w:val="0"/>
          <w:numId w:val="5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Захарова Елена Николаевна, Абесалашвили Маринэ Зауровна, Извекова Ирина Александровна ИСПОЛЬЗОВАНИЕ МЕХАНИЗМА ГОСУДАРСТВЕННО-ПУБЛИЧНО-ЧАСТНОГО ПАРТНЕРСТВА В СОЦИАЛЬНОЙ СФЕРЕ // Инновационная экономика: перспективы развития и совершенствования. 2023. №3 (69). URL: https://cyberleninka.ru/article/n/ispolzovanie-mehanizma-gosudarstvenno-publichno-chastnogo-partnerstva-v-sotsialnoy-sfere (дата обращения: 26.05.2024).</w:t>
      </w:r>
    </w:p>
    <w:p w14:paraId="7E636394">
      <w:pPr>
        <w:numPr>
          <w:ilvl w:val="0"/>
          <w:numId w:val="5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>И.А. Котышев, Е.Ю. Иванова СОЦИАЛЬНОЕ ПАРТНЕРСТВО КАК ФАКТОР ПОВЫШЕНИЯ КАЧЕСТВА ОБРАЗОВАНИЯ В ОБРАЗОВАТЕЛЬНОЙ ОРГАНИЗАЦИИ//МНКО.2022.№6 (97). URL: https://cyberleninka.ru/article/n/sotsialnoe-partnerstvo-kak-faktor-povysheniya-kachestva-obrazovaniya-v-obrazovatelnoy-organizatsii (дата обращения: 26.05.2024).</w:t>
      </w:r>
    </w:p>
    <w:p w14:paraId="45F01ADA">
      <w:pPr>
        <w:numPr>
          <w:ilvl w:val="0"/>
          <w:numId w:val="5"/>
        </w:num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2"/>
        </w:rPr>
      </w:pPr>
      <w:r>
        <w:rPr>
          <w:rFonts w:eastAsia="Calibri" w:cs="Times New Roman"/>
          <w:sz w:val="24"/>
          <w:szCs w:val="22"/>
        </w:rPr>
        <w:t xml:space="preserve">Мирошин Дмитрий Григорьевич, Мичурова Наталья Николаевна, Штерензон Вера Анатольевна Организация проектного обучения студентов в условиях социального партнерства колледжа вуза и предприятия // Педагогика и просвещение. 2023. №4. URL: https://cyberleninka.ru/article/n/organizatsiya-proektnogo-obucheniya-studentov-v-usloviyah-sotsialnogo-partnerstva-kolledzha-vuza-i-predpriyatiya (дата обращения: 26.05.2024). </w:t>
      </w:r>
    </w:p>
    <w:p w14:paraId="7A53E0B4">
      <w:pPr>
        <w:spacing w:line="276" w:lineRule="auto"/>
        <w:ind w:firstLine="709"/>
      </w:pPr>
    </w:p>
    <w:sectPr>
      <w:type w:val="continuous"/>
      <w:pgSz w:w="11906" w:h="16838"/>
      <w:pgMar w:top="1134" w:right="1134" w:bottom="1134" w:left="1134" w:header="709" w:footer="709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40719407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DB7B54">
        <w:pPr>
          <w:pStyle w:val="11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173336">
    <w:pPr>
      <w:pStyle w:val="11"/>
    </w:pPr>
  </w:p>
  <w:p w14:paraId="22B4DC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80154A"/>
    <w:multiLevelType w:val="multilevel"/>
    <w:tmpl w:val="0D80154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91872"/>
    <w:multiLevelType w:val="multilevel"/>
    <w:tmpl w:val="0EF9187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A1751"/>
    <w:multiLevelType w:val="multilevel"/>
    <w:tmpl w:val="417A175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8512F"/>
    <w:multiLevelType w:val="multilevel"/>
    <w:tmpl w:val="62D8512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F5131"/>
    <w:multiLevelType w:val="multilevel"/>
    <w:tmpl w:val="667F513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44"/>
    <w:rsid w:val="000126C2"/>
    <w:rsid w:val="0004598F"/>
    <w:rsid w:val="001420E0"/>
    <w:rsid w:val="001F3855"/>
    <w:rsid w:val="00266EAA"/>
    <w:rsid w:val="002D5C44"/>
    <w:rsid w:val="00302762"/>
    <w:rsid w:val="003619E9"/>
    <w:rsid w:val="00370B08"/>
    <w:rsid w:val="003D65EC"/>
    <w:rsid w:val="00415D03"/>
    <w:rsid w:val="0044258F"/>
    <w:rsid w:val="00451649"/>
    <w:rsid w:val="00474ED9"/>
    <w:rsid w:val="00490386"/>
    <w:rsid w:val="005A528A"/>
    <w:rsid w:val="005F25C5"/>
    <w:rsid w:val="00624298"/>
    <w:rsid w:val="00625D3D"/>
    <w:rsid w:val="006713EF"/>
    <w:rsid w:val="00675230"/>
    <w:rsid w:val="007B24A7"/>
    <w:rsid w:val="007D4F29"/>
    <w:rsid w:val="007D782B"/>
    <w:rsid w:val="007E5685"/>
    <w:rsid w:val="008602B5"/>
    <w:rsid w:val="0089671E"/>
    <w:rsid w:val="008F1223"/>
    <w:rsid w:val="00916F5A"/>
    <w:rsid w:val="009F4899"/>
    <w:rsid w:val="00A172AD"/>
    <w:rsid w:val="00A64B9A"/>
    <w:rsid w:val="00AE040E"/>
    <w:rsid w:val="00B32EAA"/>
    <w:rsid w:val="00B5500F"/>
    <w:rsid w:val="00B85C71"/>
    <w:rsid w:val="00BD6C98"/>
    <w:rsid w:val="00C25E1F"/>
    <w:rsid w:val="00C4331F"/>
    <w:rsid w:val="00C820F4"/>
    <w:rsid w:val="00CA33B0"/>
    <w:rsid w:val="00D173B1"/>
    <w:rsid w:val="00D81D11"/>
    <w:rsid w:val="00E436B7"/>
    <w:rsid w:val="00E90029"/>
    <w:rsid w:val="00EC2AD2"/>
    <w:rsid w:val="00ED2424"/>
    <w:rsid w:val="00F63898"/>
    <w:rsid w:val="00FD15B3"/>
    <w:rsid w:val="00FF616D"/>
    <w:rsid w:val="7CA9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HAnsi" w:cstheme="minorBidi"/>
      <w:sz w:val="28"/>
      <w:szCs w:val="28"/>
      <w:lang w:val="ru-RU" w:eastAsia="en-US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after="0" w:line="240" w:lineRule="auto"/>
      <w:outlineLvl w:val="0"/>
    </w:pPr>
    <w:rPr>
      <w:rFonts w:eastAsia="Times New Roman" w:cs="Times New Roman"/>
      <w:szCs w:val="20"/>
      <w:lang w:eastAsia="ru-RU"/>
    </w:rPr>
  </w:style>
  <w:style w:type="paragraph" w:styleId="3">
    <w:name w:val="heading 2"/>
    <w:basedOn w:val="1"/>
    <w:next w:val="1"/>
    <w:link w:val="38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4"/>
    <w:basedOn w:val="1"/>
    <w:next w:val="1"/>
    <w:link w:val="39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5"/>
    <w:basedOn w:val="1"/>
    <w:next w:val="1"/>
    <w:link w:val="40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1F4E79" w:themeColor="accent1" w:themeShade="8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3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Title"/>
    <w:basedOn w:val="1"/>
    <w:link w:val="20"/>
    <w:qFormat/>
    <w:uiPriority w:val="0"/>
    <w:pPr>
      <w:spacing w:after="0" w:line="240" w:lineRule="auto"/>
      <w:jc w:val="center"/>
    </w:pPr>
    <w:rPr>
      <w:rFonts w:eastAsia="Times New Roman" w:cs="Times New Roman"/>
      <w:szCs w:val="20"/>
      <w:lang w:eastAsia="ru-RU"/>
    </w:rPr>
  </w:style>
  <w:style w:type="paragraph" w:styleId="11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</w:rPr>
  </w:style>
  <w:style w:type="paragraph" w:styleId="12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3">
    <w:name w:val="Subtitle"/>
    <w:basedOn w:val="1"/>
    <w:link w:val="21"/>
    <w:qFormat/>
    <w:uiPriority w:val="0"/>
    <w:pPr>
      <w:spacing w:after="0" w:line="240" w:lineRule="auto"/>
      <w:jc w:val="center"/>
    </w:pPr>
    <w:rPr>
      <w:rFonts w:eastAsia="Times New Roman" w:cs="Times New Roman"/>
      <w:szCs w:val="20"/>
      <w:lang w:eastAsia="ru-RU"/>
    </w:rPr>
  </w:style>
  <w:style w:type="table" w:styleId="14">
    <w:name w:val="Table Grid"/>
    <w:basedOn w:val="7"/>
    <w:qFormat/>
    <w:uiPriority w:val="59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Нижний колонтитул Знак"/>
    <w:basedOn w:val="6"/>
    <w:link w:val="11"/>
    <w:qFormat/>
    <w:uiPriority w:val="99"/>
    <w:rPr>
      <w:rFonts w:ascii="Calibri" w:hAnsi="Calibri"/>
      <w:sz w:val="22"/>
      <w:szCs w:val="22"/>
    </w:rPr>
  </w:style>
  <w:style w:type="table" w:customStyle="1" w:styleId="16">
    <w:name w:val="Сетка таблицы1"/>
    <w:basedOn w:val="7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2"/>
    <w:basedOn w:val="7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8">
    <w:name w:val="Верхний колонтитул Знак"/>
    <w:basedOn w:val="6"/>
    <w:link w:val="9"/>
    <w:qFormat/>
    <w:uiPriority w:val="99"/>
  </w:style>
  <w:style w:type="character" w:customStyle="1" w:styleId="19">
    <w:name w:val="Заголовок 1 Знак"/>
    <w:basedOn w:val="6"/>
    <w:link w:val="2"/>
    <w:qFormat/>
    <w:uiPriority w:val="0"/>
    <w:rPr>
      <w:rFonts w:eastAsia="Times New Roman" w:cs="Times New Roman"/>
      <w:szCs w:val="20"/>
      <w:lang w:eastAsia="ru-RU"/>
    </w:rPr>
  </w:style>
  <w:style w:type="character" w:customStyle="1" w:styleId="20">
    <w:name w:val="Название Знак"/>
    <w:basedOn w:val="6"/>
    <w:link w:val="10"/>
    <w:qFormat/>
    <w:uiPriority w:val="0"/>
    <w:rPr>
      <w:rFonts w:eastAsia="Times New Roman" w:cs="Times New Roman"/>
      <w:szCs w:val="20"/>
      <w:lang w:eastAsia="ru-RU"/>
    </w:rPr>
  </w:style>
  <w:style w:type="character" w:customStyle="1" w:styleId="21">
    <w:name w:val="Подзаголовок Знак"/>
    <w:basedOn w:val="6"/>
    <w:link w:val="13"/>
    <w:qFormat/>
    <w:uiPriority w:val="0"/>
    <w:rPr>
      <w:rFonts w:eastAsia="Times New Roman" w:cs="Times New Roman"/>
      <w:szCs w:val="20"/>
      <w:lang w:eastAsia="ru-RU"/>
    </w:rPr>
  </w:style>
  <w:style w:type="table" w:customStyle="1" w:styleId="22">
    <w:name w:val="Сетка таблицы3"/>
    <w:basedOn w:val="7"/>
    <w:qFormat/>
    <w:uiPriority w:val="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23">
    <w:name w:val="List Paragraph"/>
    <w:basedOn w:val="1"/>
    <w:qFormat/>
    <w:uiPriority w:val="99"/>
    <w:pPr>
      <w:spacing w:after="0" w:line="240" w:lineRule="auto"/>
      <w:ind w:left="720"/>
    </w:pPr>
    <w:rPr>
      <w:rFonts w:eastAsia="Times New Roman" w:cs="Times New Roman"/>
      <w:sz w:val="24"/>
      <w:szCs w:val="24"/>
      <w:lang w:eastAsia="ru-RU"/>
    </w:rPr>
  </w:style>
  <w:style w:type="character" w:customStyle="1" w:styleId="24">
    <w:name w:val="Основной текст_"/>
    <w:basedOn w:val="6"/>
    <w:link w:val="25"/>
    <w:qFormat/>
    <w:uiPriority w:val="0"/>
    <w:rPr>
      <w:sz w:val="29"/>
      <w:szCs w:val="29"/>
      <w:shd w:val="clear" w:color="auto" w:fill="FFFFFF"/>
    </w:rPr>
  </w:style>
  <w:style w:type="paragraph" w:customStyle="1" w:styleId="25">
    <w:name w:val="Основной текст2"/>
    <w:basedOn w:val="1"/>
    <w:link w:val="24"/>
    <w:qFormat/>
    <w:uiPriority w:val="0"/>
    <w:pPr>
      <w:widowControl w:val="0"/>
      <w:shd w:val="clear" w:color="auto" w:fill="FFFFFF"/>
      <w:spacing w:after="300" w:line="324" w:lineRule="exact"/>
      <w:jc w:val="both"/>
    </w:pPr>
    <w:rPr>
      <w:sz w:val="29"/>
      <w:szCs w:val="29"/>
    </w:rPr>
  </w:style>
  <w:style w:type="character" w:customStyle="1" w:styleId="26">
    <w:name w:val="Основной текст + 12 pt;Полужирный"/>
    <w:basedOn w:val="24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7">
    <w:name w:val="Основной текст + Курсив"/>
    <w:basedOn w:val="24"/>
    <w:qFormat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29"/>
      <w:szCs w:val="29"/>
      <w:u w:val="none"/>
      <w:shd w:val="clear" w:color="auto" w:fill="FFFFFF"/>
      <w:lang w:val="ru-RU"/>
    </w:rPr>
  </w:style>
  <w:style w:type="paragraph" w:customStyle="1" w:styleId="28">
    <w:name w:val="Style53"/>
    <w:basedOn w:val="1"/>
    <w:qFormat/>
    <w:uiPriority w:val="99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29">
    <w:name w:val="Абзац списка2"/>
    <w:basedOn w:val="1"/>
    <w:qFormat/>
    <w:uiPriority w:val="0"/>
    <w:pPr>
      <w:widowControl w:val="0"/>
      <w:suppressAutoHyphens/>
      <w:autoSpaceDE w:val="0"/>
      <w:spacing w:after="0" w:line="240" w:lineRule="auto"/>
      <w:ind w:left="720"/>
    </w:pPr>
    <w:rPr>
      <w:rFonts w:eastAsia="Times New Roman" w:cs="Times New Roman"/>
      <w:sz w:val="20"/>
      <w:szCs w:val="20"/>
      <w:lang w:eastAsia="zh-CN"/>
    </w:rPr>
  </w:style>
  <w:style w:type="paragraph" w:customStyle="1" w:styleId="30">
    <w:name w:val="Абзац списка3"/>
    <w:basedOn w:val="1"/>
    <w:qFormat/>
    <w:uiPriority w:val="0"/>
    <w:pPr>
      <w:widowControl w:val="0"/>
      <w:suppressAutoHyphens/>
      <w:autoSpaceDE w:val="0"/>
      <w:spacing w:after="0" w:line="240" w:lineRule="auto"/>
      <w:ind w:left="720"/>
    </w:pPr>
    <w:rPr>
      <w:rFonts w:eastAsia="Times New Roman" w:cs="Times New Roman"/>
      <w:sz w:val="20"/>
      <w:szCs w:val="20"/>
      <w:lang w:eastAsia="zh-CN"/>
    </w:rPr>
  </w:style>
  <w:style w:type="character" w:customStyle="1" w:styleId="31">
    <w:name w:val="Font Style74"/>
    <w:qFormat/>
    <w:uiPriority w:val="0"/>
    <w:rPr>
      <w:rFonts w:hint="default" w:ascii="Times New Roman" w:hAnsi="Times New Roman" w:cs="Times New Roman"/>
      <w:b/>
      <w:bCs/>
      <w:i/>
      <w:iCs/>
      <w:sz w:val="20"/>
      <w:szCs w:val="20"/>
    </w:rPr>
  </w:style>
  <w:style w:type="character" w:customStyle="1" w:styleId="32">
    <w:name w:val="Font Style63"/>
    <w:qFormat/>
    <w:uiPriority w:val="99"/>
    <w:rPr>
      <w:rFonts w:hint="default" w:ascii="Times New Roman" w:hAnsi="Times New Roman" w:cs="Times New Roman"/>
      <w:sz w:val="20"/>
      <w:szCs w:val="20"/>
    </w:rPr>
  </w:style>
  <w:style w:type="paragraph" w:customStyle="1" w:styleId="33">
    <w:name w:val="Обычный1"/>
    <w:qFormat/>
    <w:uiPriority w:val="99"/>
    <w:pPr>
      <w:spacing w:after="0" w:line="276" w:lineRule="auto"/>
    </w:pPr>
    <w:rPr>
      <w:rFonts w:ascii="Arial" w:hAnsi="Arial" w:eastAsia="Calibri" w:cs="Arial"/>
      <w:color w:val="000000"/>
      <w:sz w:val="22"/>
      <w:szCs w:val="22"/>
      <w:lang w:val="ru-RU" w:eastAsia="ru-RU" w:bidi="ar-SA"/>
    </w:rPr>
  </w:style>
  <w:style w:type="character" w:customStyle="1" w:styleId="34">
    <w:name w:val="apple-converted-space"/>
    <w:basedOn w:val="6"/>
    <w:qFormat/>
    <w:uiPriority w:val="0"/>
  </w:style>
  <w:style w:type="character" w:customStyle="1" w:styleId="35">
    <w:name w:val="Текст выноски Знак"/>
    <w:basedOn w:val="6"/>
    <w:link w:val="8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36">
    <w:name w:val="Сетка таблицы4"/>
    <w:basedOn w:val="7"/>
    <w:qFormat/>
    <w:uiPriority w:val="39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7">
    <w:name w:val="Сетка таблицы5"/>
    <w:basedOn w:val="7"/>
    <w:qFormat/>
    <w:uiPriority w:val="39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8">
    <w:name w:val="Заголовок 2 Знак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9">
    <w:name w:val="Заголовок 4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0">
    <w:name w:val="Заголовок 5 Знак"/>
    <w:basedOn w:val="6"/>
    <w:link w:val="5"/>
    <w:semiHidden/>
    <w:qFormat/>
    <w:uiPriority w:val="9"/>
    <w:rPr>
      <w:rFonts w:asciiTheme="majorHAnsi" w:hAnsiTheme="majorHAnsi" w:eastAsiaTheme="majorEastAsia" w:cstheme="majorBidi"/>
      <w:color w:val="1F4E79" w:themeColor="accent1" w:themeShade="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1668</Words>
  <Characters>9512</Characters>
  <Lines>79</Lines>
  <Paragraphs>22</Paragraphs>
  <TotalTime>5</TotalTime>
  <ScaleCrop>false</ScaleCrop>
  <LinksUpToDate>false</LinksUpToDate>
  <CharactersWithSpaces>11158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2024-05-23T11:59:00Z</dcterms:created>
  <dc:creator>Valera</dc:creator>
  <cp:lastModifiedBy>valen</cp:lastModifiedBy>
  <cp:lastPrinted>2024-05-22T12:24:00Z</cp:lastPrinted>
  <dcterms:modified xsi:type="dcterms:W3CDTF">2024-10-24T04:25:01Z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F0CD3050D2BD4598B50B26B244F487A6_13</vt:lpwstr>
  </property>
</Properties>
</file>