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80FCE" w14:textId="77777777" w:rsidR="000932DB" w:rsidRPr="005A4F39" w:rsidRDefault="000932DB" w:rsidP="000932DB">
      <w:pPr>
        <w:spacing w:after="0" w:line="360" w:lineRule="auto"/>
        <w:ind w:firstLine="720"/>
        <w:jc w:val="right"/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</w:pPr>
      <w:proofErr w:type="gramStart"/>
      <w:r w:rsidRPr="005A4F39"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>Туянина  Алтынай</w:t>
      </w:r>
      <w:proofErr w:type="gramEnd"/>
      <w:r w:rsidRPr="005A4F39"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 xml:space="preserve"> Геннадьевна,</w:t>
      </w:r>
    </w:p>
    <w:p w14:paraId="6D5329F3" w14:textId="0F0B16C3" w:rsidR="000932DB" w:rsidRPr="005A4F39" w:rsidRDefault="000932DB" w:rsidP="000932DB">
      <w:pPr>
        <w:spacing w:after="0" w:line="360" w:lineRule="auto"/>
        <w:ind w:firstLine="720"/>
        <w:contextualSpacing/>
        <w:jc w:val="center"/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 xml:space="preserve">                                                        </w:t>
      </w:r>
      <w:r w:rsidR="003F64FC"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 xml:space="preserve">  </w:t>
      </w:r>
      <w:r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 xml:space="preserve">  </w:t>
      </w:r>
      <w:r w:rsidRPr="005A4F39"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 xml:space="preserve">учитель начальных классов </w:t>
      </w:r>
    </w:p>
    <w:p w14:paraId="2A7D407F" w14:textId="19BE6914" w:rsidR="000932DB" w:rsidRPr="005A4F39" w:rsidRDefault="000932DB" w:rsidP="000932DB">
      <w:pPr>
        <w:spacing w:after="0" w:line="360" w:lineRule="auto"/>
        <w:ind w:firstLine="720"/>
        <w:contextualSpacing/>
        <w:jc w:val="center"/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 xml:space="preserve">                                                            </w:t>
      </w:r>
      <w:r w:rsidR="003F64FC"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 xml:space="preserve">     </w:t>
      </w:r>
      <w:r w:rsidRPr="005A4F39"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>МБОУ «СОШ поселка Дукат»</w:t>
      </w:r>
    </w:p>
    <w:p w14:paraId="0A2ED0AC" w14:textId="77777777" w:rsidR="000932DB" w:rsidRDefault="000932DB"/>
    <w:p w14:paraId="15966CC6" w14:textId="77777777" w:rsidR="00083EE1" w:rsidRDefault="000932DB" w:rsidP="000932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2DB">
        <w:rPr>
          <w:rFonts w:ascii="Times New Roman" w:hAnsi="Times New Roman" w:cs="Times New Roman"/>
          <w:b/>
          <w:bCs/>
          <w:sz w:val="28"/>
          <w:szCs w:val="28"/>
        </w:rPr>
        <w:t>Формирование когнитивн</w:t>
      </w:r>
      <w:r w:rsidR="00083EE1">
        <w:rPr>
          <w:rFonts w:ascii="Times New Roman" w:hAnsi="Times New Roman" w:cs="Times New Roman"/>
          <w:b/>
          <w:bCs/>
          <w:sz w:val="28"/>
          <w:szCs w:val="28"/>
        </w:rPr>
        <w:t>ых (</w:t>
      </w:r>
      <w:r w:rsidR="00001D8E">
        <w:rPr>
          <w:rFonts w:ascii="Times New Roman" w:hAnsi="Times New Roman" w:cs="Times New Roman"/>
          <w:b/>
          <w:bCs/>
          <w:sz w:val="28"/>
          <w:szCs w:val="28"/>
        </w:rPr>
        <w:t>познавательных</w:t>
      </w:r>
      <w:r w:rsidR="00083EE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932DB">
        <w:rPr>
          <w:rFonts w:ascii="Times New Roman" w:hAnsi="Times New Roman" w:cs="Times New Roman"/>
          <w:b/>
          <w:bCs/>
          <w:sz w:val="28"/>
          <w:szCs w:val="28"/>
        </w:rPr>
        <w:t xml:space="preserve"> способностей</w:t>
      </w:r>
    </w:p>
    <w:p w14:paraId="5349BF80" w14:textId="46D79244" w:rsidR="002306AB" w:rsidRDefault="000932DB" w:rsidP="00083E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2DB">
        <w:rPr>
          <w:rFonts w:ascii="Times New Roman" w:hAnsi="Times New Roman" w:cs="Times New Roman"/>
          <w:b/>
          <w:bCs/>
          <w:sz w:val="28"/>
          <w:szCs w:val="28"/>
        </w:rPr>
        <w:t xml:space="preserve"> на уроках математики в 4 классе</w:t>
      </w:r>
    </w:p>
    <w:p w14:paraId="6170C335" w14:textId="0CF890B4" w:rsidR="00083EE1" w:rsidRPr="00083EE1" w:rsidRDefault="00083EE1" w:rsidP="00083EE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 протяжении</w:t>
      </w:r>
      <w:r w:rsidRPr="00083EE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жизни человек постоянно сталкивается с проблемами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, поиском информации</w:t>
      </w:r>
      <w:r w:rsidRPr="00083EE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П</w:t>
      </w:r>
      <w:r w:rsidRPr="00083EE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ознание окружающего мира происходит благодаря ко-</w:t>
      </w:r>
    </w:p>
    <w:p w14:paraId="3DFDA324" w14:textId="77777777" w:rsidR="00083EE1" w:rsidRPr="00083EE1" w:rsidRDefault="00083EE1" w:rsidP="00083EE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proofErr w:type="spellStart"/>
      <w:r w:rsidRPr="00083EE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гнитивным</w:t>
      </w:r>
      <w:proofErr w:type="spellEnd"/>
      <w:r w:rsidRPr="00083EE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способностям человека. Когнитивные способности – это способно-</w:t>
      </w:r>
    </w:p>
    <w:p w14:paraId="46688294" w14:textId="77777777" w:rsidR="00083EE1" w:rsidRPr="00083EE1" w:rsidRDefault="00083EE1" w:rsidP="00083EE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proofErr w:type="spellStart"/>
      <w:r w:rsidRPr="00083EE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сти</w:t>
      </w:r>
      <w:proofErr w:type="spellEnd"/>
      <w:r w:rsidRPr="00083EE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приобретения, хранения, и прорабатывания информации.</w:t>
      </w:r>
    </w:p>
    <w:p w14:paraId="09042006" w14:textId="50E3B53F" w:rsidR="00EC1036" w:rsidRPr="00FD59C8" w:rsidRDefault="00001D8E" w:rsidP="00083EE1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Когнитивной деятельностью считают деятельность, опирающуюся на познавательные (когнитивные) способности ученика. К когнитивным способностям (от лат. </w:t>
      </w:r>
      <w:proofErr w:type="spellStart"/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cogito</w:t>
      </w:r>
      <w:proofErr w:type="spellEnd"/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 — мыслю) относятся: логические и эмоционально-образные способности, смысловое видение, способности задавать вопросы, прогнозировать перспективу, формулировать гипотезы, делать выводы</w:t>
      </w:r>
      <w:r w:rsidRPr="00FD59C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..</w:t>
      </w: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.</w:t>
      </w:r>
      <w:r w:rsidR="00F44B5C" w:rsidRPr="00FD59C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r w:rsidR="00F44B5C"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Главным принципом развития </w:t>
      </w:r>
      <w:r w:rsidR="00F44B5C" w:rsidRPr="00FD59C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когнитивно-</w:t>
      </w:r>
      <w:r w:rsidR="00F44B5C"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познавательных способностей является не изучение готовых “знаний”</w:t>
      </w:r>
      <w:r w:rsidR="00F44B5C" w:rsidRPr="00FD59C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, а умение </w:t>
      </w:r>
      <w:r w:rsidR="00F44B5C" w:rsidRPr="00FD59C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подходить к новому</w:t>
      </w:r>
      <w:r w:rsidR="00F44B5C" w:rsidRPr="00FD59C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через размышления, логику.</w:t>
      </w:r>
      <w:r w:rsidR="00EC1036" w:rsidRPr="00FD59C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При этом р</w:t>
      </w:r>
      <w:r w:rsidR="00EC1036"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азвитие когнитивных способностей к обучению связано с тренировкой </w:t>
      </w:r>
      <w:r w:rsidR="00EC1036" w:rsidRPr="00FD59C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познавательных способностей таких как развитие </w:t>
      </w:r>
      <w:r w:rsidR="00EC1036"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памяти</w:t>
      </w:r>
      <w:r w:rsidR="00EC1036" w:rsidRPr="00FD59C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, мышления, воображения</w:t>
      </w:r>
      <w:r w:rsidR="00083EE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, восприятия</w:t>
      </w:r>
      <w:r w:rsidR="00EC1036" w:rsidRPr="00FD59C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508A395C" w14:textId="5A6E82C7" w:rsidR="00001D8E" w:rsidRPr="00001D8E" w:rsidRDefault="00FD59C8" w:rsidP="003E2F2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001D8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По мнению В.Н. Дружинина,</w:t>
      </w:r>
      <w:r w:rsidRPr="00FD59C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001D8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В.А.</w:t>
      </w:r>
      <w:r w:rsidR="00083EE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, </w:t>
      </w:r>
      <w:r w:rsidRPr="00001D8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Н.А. Сы</w:t>
      </w:r>
      <w:proofErr w:type="spellStart"/>
      <w:r w:rsidRPr="00001D8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рниковой</w:t>
      </w:r>
      <w:proofErr w:type="spellEnd"/>
      <w:r w:rsidRPr="00001D8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, уровень развития когнитивных способностей оказывает влияние на</w:t>
      </w:r>
      <w:r w:rsidRPr="00FD59C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001D8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дальнейшие достижения и успех</w:t>
      </w:r>
      <w:r w:rsidRPr="00FD59C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001D8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человека в жизни.</w:t>
      </w:r>
      <w:r w:rsidRPr="00FD59C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FD59C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В исследованиях Е.В. </w:t>
      </w:r>
      <w:proofErr w:type="spellStart"/>
      <w:r w:rsidRPr="00FD59C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Муссалитиной</w:t>
      </w:r>
      <w:proofErr w:type="spellEnd"/>
      <w:r w:rsidRPr="00FD59C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, В.П. Озерова, Ю.А. Пашковой отмечается, что развитие когнитивных способностей в начальной школе является </w:t>
      </w:r>
      <w:r w:rsidR="00083EE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самым плодотворным</w:t>
      </w:r>
      <w:r w:rsidR="00083EE1" w:rsidRPr="00FD59C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периодом,</w:t>
      </w:r>
      <w:r w:rsidR="00083EE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FD59C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в течение которого создаются оптимальные условия развития психологических качеств и </w:t>
      </w:r>
      <w:r w:rsidR="00083EE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познавательных способностей</w:t>
      </w:r>
      <w:r w:rsidRPr="00FD59C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</w:t>
      </w:r>
      <w:r w:rsidR="001D2EA1" w:rsidRPr="001D2EA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1D2EA1" w:rsidRPr="001D2EA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Исследователи В.И. Арнольд, М.Б. Волович, Б.В. Гнеденко, А.Н. Колмогоров, А.Г. Мордкович</w:t>
      </w:r>
      <w:r w:rsidR="001D2EA1" w:rsidRPr="001D2EA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1D2EA1" w:rsidRPr="001D2EA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отмечают,</w:t>
      </w:r>
      <w:r w:rsidR="001D2EA1" w:rsidRPr="001D2EA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1D2EA1" w:rsidRPr="001D2EA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что </w:t>
      </w:r>
      <w:r w:rsidR="001D2EA1" w:rsidRPr="001D2EA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lastRenderedPageBreak/>
        <w:t xml:space="preserve">математическое образование в процессе развития когнитивных способностей </w:t>
      </w:r>
      <w:r w:rsidR="00083EE1" w:rsidRPr="003E2F2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очень важна</w:t>
      </w:r>
      <w:r w:rsidR="001D2EA1" w:rsidRPr="001D2EA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68C667B7" w14:textId="518E7BC0" w:rsidR="00A807C3" w:rsidRPr="00A807C3" w:rsidRDefault="00001D8E" w:rsidP="00A807C3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Какие же приёмы и способы организации на уроке способствуют развитию </w:t>
      </w:r>
      <w:r w:rsidR="003E2F2C" w:rsidRPr="00966FB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познавательных способностей</w:t>
      </w: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? 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У детей младшего школьного возраста преобладает наглядно-образное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3E2F2C" w:rsidRPr="003E2F2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мышление, поэтому важно в процессе обучения математике в 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4 классе, как и в остальных классах начальной школы, </w:t>
      </w:r>
      <w:r w:rsidR="00DE596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делать</w:t>
      </w:r>
      <w:r w:rsidR="003E2F2C" w:rsidRPr="003E2F2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акцент на использование </w:t>
      </w:r>
      <w:r w:rsidR="00DE596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функций познавательной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3E2F2C" w:rsidRPr="003E2F2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наглядности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 Это могут быть знаки, схемы, таблицы, ментальные карты</w:t>
      </w:r>
      <w:r w:rsidR="00966FB7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, блок-схемы, </w:t>
      </w:r>
      <w:r w:rsidR="00A37F3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карты понятий, </w:t>
      </w:r>
      <w:r w:rsidR="00966FB7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графики, диаграммы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 Интеллект</w:t>
      </w:r>
      <w:r w:rsidR="00966FB7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карты</w:t>
      </w:r>
      <w:r w:rsidR="00966FB7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, ассоциативные карты</w:t>
      </w:r>
      <w:r w:rsidR="00A37F3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, карты понятий, блок-схемы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966FB7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обучающиеся</w:t>
      </w:r>
      <w:r w:rsidR="00966FB7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могут создавать сами, например по теме задачи, классы (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val="en-US" w:eastAsia="ru-RU"/>
          <w14:ligatures w14:val="none"/>
        </w:rPr>
        <w:t>I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класс единиц, 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val="en-US" w:eastAsia="ru-RU"/>
          <w14:ligatures w14:val="none"/>
        </w:rPr>
        <w:t>II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класс тысяч, 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val="en-US" w:eastAsia="ru-RU"/>
          <w14:ligatures w14:val="none"/>
        </w:rPr>
        <w:t>III</w:t>
      </w:r>
      <w:r w:rsidR="003E2F2C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миллионов)</w:t>
      </w:r>
      <w:r w:rsidR="00F5261E" w:rsidRPr="00966F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, компоненты деления, </w:t>
      </w:r>
      <w:r w:rsidR="00F5261E" w:rsidRPr="00A37F3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умножения, сложения, вычитания..</w:t>
      </w:r>
      <w:r w:rsidR="003E2F2C" w:rsidRPr="00A37F3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</w:t>
      </w:r>
      <w:r w:rsidR="00B70D5D" w:rsidRPr="00A37F3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9271E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При рисовании интеллект-карт цветными карандашами у детей развивается воображение, память, внимание, логика</w:t>
      </w:r>
      <w:r w:rsidR="009271E6" w:rsidRPr="00A807C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 </w:t>
      </w:r>
      <w:r w:rsidR="00A807C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Интеллект карта привлекает такими свойствами, как наглядность (всю </w:t>
      </w:r>
      <w:r w:rsidR="00A807C3" w:rsidRP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проблему с ее многочисленными сторонами можно окинуть одним взглядом</w:t>
      </w:r>
      <w:r w:rsid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); з</w:t>
      </w:r>
      <w:r w:rsidR="00A807C3" w:rsidRP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апоминаемость</w:t>
      </w:r>
      <w:r w:rsid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(б</w:t>
      </w:r>
      <w:r w:rsidR="00A807C3" w:rsidRP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лагодаря работе обоих полушарий мозга, использованию образов и цвета интеллект-карта легко запоминается</w:t>
      </w:r>
      <w:r w:rsid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); т</w:t>
      </w:r>
      <w:r w:rsidR="00A807C3" w:rsidRP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ворчество</w:t>
      </w:r>
      <w:r w:rsid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</w:t>
      </w:r>
      <w:r w:rsidR="00A807C3" w:rsidRP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стимулирует творчество, помогает найти нестандартные пути решения задачи</w:t>
      </w:r>
      <w:r w:rsid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);</w:t>
      </w:r>
      <w:r w:rsidR="00A807C3" w:rsidRP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="00A807C3" w:rsidRP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воевременность </w:t>
      </w:r>
      <w:r w:rsid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(и</w:t>
      </w:r>
      <w:r w:rsidR="00A807C3" w:rsidRP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нтеллект-карта помогает выявить недостаток информации и понять, какой информации не хватает</w:t>
      </w:r>
      <w:r w:rsid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); в</w:t>
      </w:r>
      <w:r w:rsidR="00A807C3" w:rsidRP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озможность пересмотра</w:t>
      </w:r>
      <w:r w:rsid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(п</w:t>
      </w:r>
      <w:r w:rsidR="00A807C3" w:rsidRP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ересмотр интеллект-карт через некоторое время помогает усвоить картину в целом, запомнить ее, а также увидеть новые идеи</w:t>
      </w:r>
      <w:r w:rsid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</w:t>
      </w:r>
      <w:r w:rsidR="00A807C3" w:rsidRPr="00A807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6CED181A" w14:textId="1E85B4EB" w:rsidR="003E2F2C" w:rsidRPr="003E2F2C" w:rsidRDefault="003C37FB" w:rsidP="00A37F32">
      <w:pPr>
        <w:shd w:val="clear" w:color="auto" w:fill="FFFFFF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A807C3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Но при этом необходимо определять степень использования</w:t>
      </w:r>
      <w:r w:rsidRPr="00A37F3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наглядности</w:t>
      </w:r>
      <w:r w:rsidR="00966FB7" w:rsidRPr="00A37F3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в разумных пределах.</w:t>
      </w:r>
      <w:r w:rsidR="009271E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727D414" w14:textId="201BD665" w:rsidR="00001D8E" w:rsidRDefault="00001D8E" w:rsidP="00A37F32">
      <w:pPr>
        <w:shd w:val="clear" w:color="auto" w:fill="FFFFFF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Немаловажную роль здесь играют различные упражнения</w:t>
      </w:r>
      <w:r w:rsidR="00072AC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, задания, </w:t>
      </w:r>
      <w:r w:rsidR="009027C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тесты</w:t>
      </w:r>
      <w:r w:rsidR="009027C6"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, </w:t>
      </w:r>
      <w:r w:rsidR="009027C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мозговые</w:t>
      </w:r>
      <w:r w:rsidR="00072AC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штурмы, игры, </w:t>
      </w: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направленные на развитие </w:t>
      </w:r>
      <w:r w:rsidR="00A37F32" w:rsidRPr="00A37F3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познавательных</w:t>
      </w: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способностей ребёнка. Применяя такие задания на уроках, мы даём возможность учащимся </w:t>
      </w:r>
      <w:r w:rsidR="00072AC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перейти</w:t>
      </w: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от однообразной работы, </w:t>
      </w:r>
      <w:r w:rsidR="00072AC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тем самым пробуем снять </w:t>
      </w: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утомл</w:t>
      </w:r>
      <w:r w:rsidR="00072AC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яемость от письменных работ, а познавательные игры в свою </w:t>
      </w:r>
      <w:r w:rsidR="00072AC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lastRenderedPageBreak/>
        <w:t xml:space="preserve">очередь формируют мотивацию к уроку. </w:t>
      </w: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В процессе игры </w:t>
      </w:r>
      <w:r w:rsidR="00072AC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в виде мозгового штурма</w:t>
      </w:r>
      <w:r w:rsidR="00E26B3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…</w:t>
      </w:r>
      <w:r w:rsidR="00072AC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у обучающихся формируются такие способности, как внимание</w:t>
      </w: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r w:rsidR="00F708A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память, скоро</w:t>
      </w:r>
      <w:r w:rsidR="00D857F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сть счета в уме, решени</w:t>
      </w:r>
      <w:r w:rsidR="00E26B3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е</w:t>
      </w:r>
      <w:r w:rsidR="00D857F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задач на логику</w:t>
      </w:r>
      <w:r w:rsidR="00E26B3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, умение классифицировать, наблюдать, анализировать, делать выводы, задавать вопросы, оперировать знаниями, полученными на уроке</w:t>
      </w:r>
      <w:r w:rsidR="00D857F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. </w:t>
      </w:r>
      <w:r w:rsidR="00E26B3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Таким образом у детей создается ситуация успеха.</w:t>
      </w:r>
    </w:p>
    <w:p w14:paraId="07C66E01" w14:textId="1DE08935" w:rsidR="00E26B3E" w:rsidRDefault="00E26B3E" w:rsidP="00A37F32">
      <w:pPr>
        <w:shd w:val="clear" w:color="auto" w:fill="FFFFFF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У И. Башмакова есть ряд заданий, которые можно использовать на уроке математики. Я для себя и для детей выделила наиболее интересные и продуктивные задачи: «Посмотрите и найдите», «Тренажёр», «Тест», «Правильный ответ», «Докажите, глядя на рисунок…»</w:t>
      </w:r>
    </w:p>
    <w:p w14:paraId="52EDE123" w14:textId="46734D5B" w:rsidR="00B141B7" w:rsidRPr="00001D8E" w:rsidRDefault="00B141B7" w:rsidP="00A37F32">
      <w:pPr>
        <w:shd w:val="clear" w:color="auto" w:fill="FFFFFF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Помимо этих задач можно использовать такие задания, как «Прослушай и запиши (продиктовать трехзначные числа, тысячи, дети по памяти пишут)», «Запомни и восстанови» (это могут быть как числа, так и геометрические фигуры), «Определи закономерность чисел и продолжи», «Какой знак (число) стоит?»</w:t>
      </w:r>
      <w:r w:rsidR="002B041A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, «Найди общее», «Найди лишнюю фигуру (число)»</w:t>
      </w:r>
      <w:r w:rsidR="0031004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, «Математические загадки», «Магический квадрат», «Задачи на логику» «Математические головоломки» (ребусы с числами и предметными картинками)</w:t>
      </w:r>
      <w:r w:rsidR="002B041A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. При выполнении таких заданий учащиеся учатся определять частное от общего, выделять существенные признаки предмета. </w:t>
      </w:r>
      <w:r w:rsidR="009531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С каждым новым успехом у учеников повышается мотивация, значимость. </w:t>
      </w:r>
    </w:p>
    <w:p w14:paraId="7EBF8170" w14:textId="0484234A" w:rsidR="00C9698A" w:rsidRPr="00C9698A" w:rsidRDefault="00001D8E" w:rsidP="00C969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 </w:t>
      </w:r>
      <w:r w:rsidR="00C9698A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ab/>
      </w:r>
      <w:r w:rsidR="00C9698A" w:rsidRPr="00C9698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Развитие когнитивных способностей в </w:t>
      </w:r>
      <w:r w:rsidR="00C9698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4 классе </w:t>
      </w:r>
      <w:r w:rsidR="00C9698A" w:rsidRPr="00C9698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имеет ряд особенностей: у детей преобладает наглядно-образное мышление,</w:t>
      </w:r>
      <w:r w:rsidR="00C9698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C9698A" w:rsidRPr="00C9698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восприятие, основанное на эмоциях, наглядно-образная память, концентрация</w:t>
      </w:r>
      <w:r w:rsidR="00C9698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C9698A" w:rsidRPr="00C9698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внимания на ярком материале. Поэтому процесс обучения математике в</w:t>
      </w:r>
      <w:r w:rsidR="00C9698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4 классе</w:t>
      </w:r>
      <w:r w:rsidR="00C9698A" w:rsidRPr="00C9698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мы предлагаем строить на основе </w:t>
      </w:r>
      <w:r w:rsidR="00C9698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системно-деятельностного подход</w:t>
      </w:r>
      <w:r w:rsidR="00483D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а, направленн</w:t>
      </w:r>
      <w:r w:rsidR="00BA1E50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</w:t>
      </w:r>
      <w:r w:rsidR="00483D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е на </w:t>
      </w:r>
      <w:r w:rsidR="005E4BAB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развитие </w:t>
      </w:r>
      <w:r w:rsidR="005E4BAB" w:rsidRPr="00C9698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когнитивных</w:t>
      </w:r>
      <w:r w:rsidR="00483D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(познавательных) способностей</w:t>
      </w:r>
      <w:r w:rsidR="00483DB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</w:t>
      </w:r>
      <w:r w:rsidR="005E4BAB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</w:p>
    <w:p w14:paraId="275B81B8" w14:textId="40C0EB3A" w:rsidR="00001D8E" w:rsidRPr="00001D8E" w:rsidRDefault="00001D8E" w:rsidP="00001D8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7C8C3EE4" w14:textId="77777777" w:rsidR="00001D8E" w:rsidRPr="00001D8E" w:rsidRDefault="00001D8E" w:rsidP="00E663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Список литературы:</w:t>
      </w:r>
    </w:p>
    <w:p w14:paraId="2B55A2DF" w14:textId="77777777" w:rsidR="00001D8E" w:rsidRPr="00001D8E" w:rsidRDefault="00001D8E" w:rsidP="00E66369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1.  Амосова Н.В. Общие проблемы развития творческой личности при обучении математики. Изд-во АО ИУУ, 2005г.</w:t>
      </w:r>
    </w:p>
    <w:p w14:paraId="0F560A2D" w14:textId="690BDE80" w:rsidR="00001D8E" w:rsidRPr="00E66369" w:rsidRDefault="00001D8E" w:rsidP="00E66369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2. </w:t>
      </w:r>
      <w:proofErr w:type="spellStart"/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Альхова</w:t>
      </w:r>
      <w:proofErr w:type="spellEnd"/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З.Н., Макеева А.В. Внеклассная работа по математике. Саратов. ОАО Издательство «Лицей». 2003г.</w:t>
      </w:r>
    </w:p>
    <w:p w14:paraId="23380A96" w14:textId="71551B79" w:rsidR="001E74FC" w:rsidRPr="001E74FC" w:rsidRDefault="001E74FC" w:rsidP="00E66369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E66369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lastRenderedPageBreak/>
        <w:t xml:space="preserve">3. </w:t>
      </w:r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Башмаков, М. И. Информационная среда обучения / М. И. Башмаков,</w:t>
      </w:r>
    </w:p>
    <w:p w14:paraId="37FADA29" w14:textId="77777777" w:rsidR="001E74FC" w:rsidRPr="001E74FC" w:rsidRDefault="001E74FC" w:rsidP="00E663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С. Н. Поздняков, Н. А. Резник. – Санкт-Петербург: СВЕТ, 1997 – 400 с.</w:t>
      </w:r>
    </w:p>
    <w:p w14:paraId="706793E3" w14:textId="6AA396F6" w:rsidR="001E74FC" w:rsidRPr="001E74FC" w:rsidRDefault="001E74FC" w:rsidP="00E6636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E66369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4. </w:t>
      </w:r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Воронина, Л. В. Развитие когнитивных способностей младших</w:t>
      </w:r>
    </w:p>
    <w:p w14:paraId="325F4C48" w14:textId="4223C54E" w:rsidR="001E74FC" w:rsidRPr="00001D8E" w:rsidRDefault="001E74FC" w:rsidP="00E663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E66369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школьников при обучении математике / Л. В. Воронина, Т. В. Истомина // Педагогическое образование в России. – 2020 - № 2 – С. 119-126.</w:t>
      </w:r>
    </w:p>
    <w:p w14:paraId="4FDC6220" w14:textId="515EDB35" w:rsidR="001E74FC" w:rsidRPr="001E74FC" w:rsidRDefault="001E74FC" w:rsidP="00E6636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E66369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5. </w:t>
      </w:r>
      <w:proofErr w:type="spellStart"/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Далингер</w:t>
      </w:r>
      <w:proofErr w:type="spellEnd"/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, В. А. Методика обучения математике. Когнитивно-</w:t>
      </w:r>
    </w:p>
    <w:p w14:paraId="54AD3E1D" w14:textId="0763C3EC" w:rsidR="001E74FC" w:rsidRPr="001E74FC" w:rsidRDefault="001E74FC" w:rsidP="00E663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визуальный подход: учебник для академического бакалавриата / В. А. Да-</w:t>
      </w:r>
    </w:p>
    <w:p w14:paraId="1534CC3C" w14:textId="77777777" w:rsidR="001E74FC" w:rsidRPr="001E74FC" w:rsidRDefault="001E74FC" w:rsidP="00E663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proofErr w:type="spellStart"/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лингер</w:t>
      </w:r>
      <w:proofErr w:type="spellEnd"/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, С. Д. </w:t>
      </w:r>
      <w:proofErr w:type="spellStart"/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Симонженков</w:t>
      </w:r>
      <w:proofErr w:type="spellEnd"/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. – Москва: </w:t>
      </w:r>
      <w:proofErr w:type="spellStart"/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Юрайт</w:t>
      </w:r>
      <w:proofErr w:type="spellEnd"/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, 2019 – 340 с.</w:t>
      </w:r>
    </w:p>
    <w:p w14:paraId="72D1068F" w14:textId="0119C448" w:rsidR="00001D8E" w:rsidRPr="00E66369" w:rsidRDefault="00E66369" w:rsidP="00E66369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E66369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6</w:t>
      </w:r>
      <w:r w:rsidR="00001D8E"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. </w:t>
      </w:r>
      <w:proofErr w:type="spellStart"/>
      <w:r w:rsidR="00001D8E"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Кордемский</w:t>
      </w:r>
      <w:proofErr w:type="spellEnd"/>
      <w:r w:rsidR="00001D8E"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Б.А., Ахадов А.А.  Удивительный мир чисел. Москва «Просвещение», АО «Учебная литература».  1996г.</w:t>
      </w:r>
    </w:p>
    <w:p w14:paraId="15C22383" w14:textId="0E7AE1E8" w:rsidR="001E74FC" w:rsidRPr="001E74FC" w:rsidRDefault="001E74FC" w:rsidP="00E663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E66369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       </w:t>
      </w:r>
      <w:r w:rsidR="00E66369" w:rsidRPr="00E66369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7</w:t>
      </w:r>
      <w:r w:rsidRPr="00E66369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</w:t>
      </w:r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Педагогический энциклопедический словарь / гл. ред. Б.М. Бим-Бад.</w:t>
      </w:r>
    </w:p>
    <w:p w14:paraId="53D90C70" w14:textId="0FEECAB2" w:rsidR="001E74FC" w:rsidRPr="001E74FC" w:rsidRDefault="001E74FC" w:rsidP="00E663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– Москва: Большая рос. </w:t>
      </w:r>
      <w:proofErr w:type="spellStart"/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энцикл</w:t>
      </w:r>
      <w:proofErr w:type="spellEnd"/>
      <w:r w:rsidRPr="001E74F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., 2002 – 528 с.</w:t>
      </w:r>
    </w:p>
    <w:p w14:paraId="57F58E37" w14:textId="56E2D5B2" w:rsidR="00001D8E" w:rsidRPr="00001D8E" w:rsidRDefault="00E66369" w:rsidP="00E66369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E66369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8</w:t>
      </w:r>
      <w:r w:rsidR="00001D8E"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.  Тарабарина Т.И., Елкина Н.В.   И учёба, и игра: математика. Ярославль «Академия развития». 2000г.</w:t>
      </w:r>
    </w:p>
    <w:p w14:paraId="025DADF9" w14:textId="7B09A062" w:rsidR="00001D8E" w:rsidRPr="00001D8E" w:rsidRDefault="00E66369" w:rsidP="00E66369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E66369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9</w:t>
      </w:r>
      <w:r w:rsidR="00001D8E"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. Тихомирова Л.  Развитие интеллектуальных способностей ребёнка. Москва «Рольф». 2001г.</w:t>
      </w:r>
    </w:p>
    <w:p w14:paraId="00F0E48B" w14:textId="71D9849A" w:rsidR="00001D8E" w:rsidRPr="00001D8E" w:rsidRDefault="00001D8E" w:rsidP="00001D8E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001D8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 </w:t>
      </w:r>
    </w:p>
    <w:p w14:paraId="1201D221" w14:textId="77777777" w:rsidR="000932DB" w:rsidRPr="000932DB" w:rsidRDefault="000932DB" w:rsidP="000932D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932DB" w:rsidRPr="00093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705F64"/>
    <w:multiLevelType w:val="hybridMultilevel"/>
    <w:tmpl w:val="38100A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1283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F8B"/>
    <w:rsid w:val="00001D8E"/>
    <w:rsid w:val="00072AC2"/>
    <w:rsid w:val="00083EE1"/>
    <w:rsid w:val="000932DB"/>
    <w:rsid w:val="001D2EA1"/>
    <w:rsid w:val="001E74FC"/>
    <w:rsid w:val="002306AB"/>
    <w:rsid w:val="002965CB"/>
    <w:rsid w:val="002B041A"/>
    <w:rsid w:val="0031004B"/>
    <w:rsid w:val="003C37FB"/>
    <w:rsid w:val="003E2F2C"/>
    <w:rsid w:val="003F64FC"/>
    <w:rsid w:val="00427AA8"/>
    <w:rsid w:val="00430F8B"/>
    <w:rsid w:val="004724CA"/>
    <w:rsid w:val="00483DB7"/>
    <w:rsid w:val="005E4BAB"/>
    <w:rsid w:val="009027C6"/>
    <w:rsid w:val="009271E6"/>
    <w:rsid w:val="00953131"/>
    <w:rsid w:val="00966FB7"/>
    <w:rsid w:val="00A37F32"/>
    <w:rsid w:val="00A807C3"/>
    <w:rsid w:val="00B141B7"/>
    <w:rsid w:val="00B70D5D"/>
    <w:rsid w:val="00BA1E50"/>
    <w:rsid w:val="00C9698A"/>
    <w:rsid w:val="00D857F6"/>
    <w:rsid w:val="00DE596C"/>
    <w:rsid w:val="00E26B3E"/>
    <w:rsid w:val="00E66369"/>
    <w:rsid w:val="00EC1036"/>
    <w:rsid w:val="00F44B5C"/>
    <w:rsid w:val="00F5261E"/>
    <w:rsid w:val="00F708A8"/>
    <w:rsid w:val="00FD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2AE3B"/>
  <w15:chartTrackingRefBased/>
  <w15:docId w15:val="{544E8B6D-DE72-4F2F-A39B-143611095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4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Алтынай Туянина</dc:creator>
  <cp:keywords/>
  <dc:description/>
  <cp:lastModifiedBy>Алтынай Туянина</cp:lastModifiedBy>
  <cp:revision>31</cp:revision>
  <dcterms:created xsi:type="dcterms:W3CDTF">2024-10-09T09:05:00Z</dcterms:created>
  <dcterms:modified xsi:type="dcterms:W3CDTF">2024-10-09T11:21:00Z</dcterms:modified>
</cp:coreProperties>
</file>