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CE8" w:rsidRDefault="00AF1CE8" w:rsidP="00AF1CE8">
      <w:pPr>
        <w:pStyle w:val="a3"/>
        <w:shd w:val="clear" w:color="auto" w:fill="FFFFFF"/>
        <w:spacing w:before="0" w:beforeAutospacing="0" w:after="111" w:afterAutospacing="0" w:line="360" w:lineRule="auto"/>
        <w:ind w:firstLine="709"/>
        <w:jc w:val="center"/>
        <w:rPr>
          <w:b/>
          <w:sz w:val="28"/>
          <w:szCs w:val="28"/>
        </w:rPr>
      </w:pPr>
      <w:r w:rsidRPr="00AF1CE8">
        <w:rPr>
          <w:b/>
          <w:sz w:val="28"/>
          <w:szCs w:val="28"/>
        </w:rPr>
        <w:t xml:space="preserve">Подвижные игры как </w:t>
      </w:r>
      <w:r>
        <w:rPr>
          <w:b/>
          <w:sz w:val="28"/>
          <w:szCs w:val="28"/>
        </w:rPr>
        <w:t>основной аспект реализации</w:t>
      </w:r>
      <w:r w:rsidRPr="00AF1CE8">
        <w:rPr>
          <w:b/>
          <w:sz w:val="28"/>
          <w:szCs w:val="28"/>
        </w:rPr>
        <w:t xml:space="preserve"> </w:t>
      </w:r>
    </w:p>
    <w:p w:rsidR="00AF1CE8" w:rsidRDefault="00AF1CE8" w:rsidP="00AF1CE8">
      <w:pPr>
        <w:pStyle w:val="a3"/>
        <w:shd w:val="clear" w:color="auto" w:fill="FFFFFF"/>
        <w:spacing w:before="0" w:beforeAutospacing="0" w:after="111" w:afterAutospacing="0" w:line="360" w:lineRule="auto"/>
        <w:ind w:firstLine="709"/>
        <w:jc w:val="center"/>
        <w:rPr>
          <w:b/>
          <w:sz w:val="28"/>
          <w:szCs w:val="28"/>
        </w:rPr>
      </w:pPr>
      <w:r w:rsidRPr="00AF1CE8">
        <w:rPr>
          <w:b/>
          <w:sz w:val="28"/>
          <w:szCs w:val="28"/>
        </w:rPr>
        <w:t>программы «Хоккей с мячом»</w:t>
      </w:r>
      <w:r>
        <w:rPr>
          <w:b/>
          <w:sz w:val="28"/>
          <w:szCs w:val="28"/>
        </w:rPr>
        <w:t xml:space="preserve"> </w:t>
      </w:r>
    </w:p>
    <w:p w:rsidR="00AF1CE8" w:rsidRPr="00AF1CE8" w:rsidRDefault="00AF1CE8" w:rsidP="00AF1CE8">
      <w:pPr>
        <w:pStyle w:val="a3"/>
        <w:shd w:val="clear" w:color="auto" w:fill="FFFFFF"/>
        <w:spacing w:before="0" w:beforeAutospacing="0" w:after="111" w:afterAutospacing="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учащихся дошкольного возраста</w:t>
      </w:r>
    </w:p>
    <w:p w:rsidR="00AF1CE8" w:rsidRPr="00AF1CE8" w:rsidRDefault="00AF1CE8" w:rsidP="00AF1CE8">
      <w:pPr>
        <w:pStyle w:val="a3"/>
        <w:shd w:val="clear" w:color="auto" w:fill="FFFFFF"/>
        <w:spacing w:before="0" w:beforeAutospacing="0" w:after="111" w:afterAutospacing="0" w:line="360" w:lineRule="auto"/>
        <w:ind w:firstLine="709"/>
        <w:jc w:val="right"/>
        <w:rPr>
          <w:b/>
          <w:i/>
          <w:sz w:val="28"/>
          <w:szCs w:val="28"/>
        </w:rPr>
      </w:pPr>
      <w:proofErr w:type="spellStart"/>
      <w:r w:rsidRPr="00AF1CE8">
        <w:rPr>
          <w:b/>
          <w:i/>
          <w:sz w:val="28"/>
          <w:szCs w:val="28"/>
        </w:rPr>
        <w:t>Галеев</w:t>
      </w:r>
      <w:proofErr w:type="spellEnd"/>
      <w:r w:rsidRPr="00AF1CE8">
        <w:rPr>
          <w:b/>
          <w:i/>
          <w:sz w:val="28"/>
          <w:szCs w:val="28"/>
        </w:rPr>
        <w:t xml:space="preserve"> Андрей </w:t>
      </w:r>
      <w:proofErr w:type="spellStart"/>
      <w:r w:rsidRPr="00AF1CE8">
        <w:rPr>
          <w:b/>
          <w:i/>
          <w:sz w:val="28"/>
          <w:szCs w:val="28"/>
        </w:rPr>
        <w:t>Рафикович</w:t>
      </w:r>
      <w:proofErr w:type="spellEnd"/>
    </w:p>
    <w:p w:rsidR="00AF1CE8" w:rsidRPr="00AF1CE8" w:rsidRDefault="00AF1CE8" w:rsidP="00AF1CE8">
      <w:pPr>
        <w:pStyle w:val="a3"/>
        <w:shd w:val="clear" w:color="auto" w:fill="FFFFFF"/>
        <w:spacing w:before="0" w:beforeAutospacing="0" w:after="111" w:afterAutospacing="0" w:line="360" w:lineRule="auto"/>
        <w:ind w:firstLine="709"/>
        <w:jc w:val="right"/>
        <w:rPr>
          <w:b/>
          <w:i/>
          <w:sz w:val="28"/>
          <w:szCs w:val="28"/>
        </w:rPr>
      </w:pPr>
      <w:r w:rsidRPr="00AF1CE8">
        <w:rPr>
          <w:b/>
          <w:i/>
          <w:sz w:val="28"/>
          <w:szCs w:val="28"/>
        </w:rPr>
        <w:t>МБУ ДО «СШ по хоккею с мячом»</w:t>
      </w:r>
    </w:p>
    <w:p w:rsidR="00AF1CE8" w:rsidRPr="00AF1CE8" w:rsidRDefault="00AF1CE8" w:rsidP="00AF1CE8">
      <w:pPr>
        <w:pStyle w:val="a3"/>
        <w:shd w:val="clear" w:color="auto" w:fill="FFFFFF"/>
        <w:spacing w:before="0" w:beforeAutospacing="0" w:after="111" w:afterAutospacing="0" w:line="360" w:lineRule="auto"/>
        <w:ind w:firstLine="709"/>
        <w:jc w:val="right"/>
        <w:rPr>
          <w:b/>
          <w:i/>
          <w:sz w:val="28"/>
          <w:szCs w:val="28"/>
        </w:rPr>
      </w:pPr>
      <w:r w:rsidRPr="00AF1CE8">
        <w:rPr>
          <w:b/>
          <w:i/>
          <w:sz w:val="28"/>
          <w:szCs w:val="28"/>
        </w:rPr>
        <w:t>Абакан, Республика Хакасия</w:t>
      </w:r>
    </w:p>
    <w:p w:rsidR="00AF1CE8" w:rsidRPr="00AF1CE8" w:rsidRDefault="00AF1CE8" w:rsidP="00AF1CE8">
      <w:pPr>
        <w:pStyle w:val="a3"/>
        <w:shd w:val="clear" w:color="auto" w:fill="FFFFFF"/>
        <w:spacing w:before="0" w:beforeAutospacing="0" w:after="111" w:afterAutospacing="0" w:line="360" w:lineRule="auto"/>
        <w:ind w:firstLine="709"/>
        <w:jc w:val="both"/>
        <w:rPr>
          <w:rFonts w:ascii="Helvetica" w:hAnsi="Helvetica"/>
          <w:sz w:val="28"/>
          <w:szCs w:val="28"/>
        </w:rPr>
      </w:pPr>
      <w:r w:rsidRPr="00AF1CE8">
        <w:rPr>
          <w:sz w:val="28"/>
          <w:szCs w:val="28"/>
        </w:rPr>
        <w:t xml:space="preserve">Согласно действующему закону «Об образовании в Российской Федерации» от 29.12.2012 г. № 273-ФЗ дошкольное образование является начальной ступенью в системе общего образования. Требования ФГОС </w:t>
      </w:r>
      <w:proofErr w:type="gramStart"/>
      <w:r w:rsidRPr="00AF1CE8">
        <w:rPr>
          <w:sz w:val="28"/>
          <w:szCs w:val="28"/>
        </w:rPr>
        <w:t>ДО</w:t>
      </w:r>
      <w:proofErr w:type="gramEnd"/>
      <w:r w:rsidRPr="00AF1CE8">
        <w:rPr>
          <w:sz w:val="28"/>
          <w:szCs w:val="28"/>
        </w:rPr>
        <w:t xml:space="preserve"> определяют </w:t>
      </w:r>
      <w:proofErr w:type="gramStart"/>
      <w:r w:rsidRPr="00AF1CE8">
        <w:rPr>
          <w:sz w:val="28"/>
          <w:szCs w:val="28"/>
        </w:rPr>
        <w:t>необходимость</w:t>
      </w:r>
      <w:proofErr w:type="gramEnd"/>
      <w:r w:rsidRPr="00AF1CE8">
        <w:rPr>
          <w:sz w:val="28"/>
          <w:szCs w:val="28"/>
        </w:rPr>
        <w:t xml:space="preserve"> охраны и укрепления физического здоровья ребёнка, поскольку успехи при обучении в школе во многом зависят от физической подготовленности и состояния здоровья.</w:t>
      </w:r>
    </w:p>
    <w:p w:rsidR="00AF1CE8" w:rsidRPr="00AF1CE8" w:rsidRDefault="00AF1CE8" w:rsidP="00AF1CE8">
      <w:pPr>
        <w:pStyle w:val="a3"/>
        <w:shd w:val="clear" w:color="auto" w:fill="FFFFFF"/>
        <w:spacing w:before="0" w:beforeAutospacing="0" w:after="111" w:afterAutospacing="0" w:line="360" w:lineRule="auto"/>
        <w:ind w:firstLine="709"/>
        <w:jc w:val="both"/>
        <w:rPr>
          <w:rFonts w:ascii="Helvetica" w:hAnsi="Helvetica"/>
          <w:sz w:val="28"/>
          <w:szCs w:val="28"/>
        </w:rPr>
      </w:pPr>
      <w:r w:rsidRPr="00AF1CE8">
        <w:rPr>
          <w:sz w:val="28"/>
          <w:szCs w:val="28"/>
        </w:rPr>
        <w:t>Современные дети в большинстве своём испытывают «двигательный дефицит». Снижается сила и работоспособность скелетной мускулатуры, что влечёт за собой нарушение осанки, задержку возрастного развития быстроты, ловкости, координации движений, выносливости, гибкости и силы.</w:t>
      </w:r>
    </w:p>
    <w:p w:rsidR="00AF1CE8" w:rsidRPr="00AF1CE8" w:rsidRDefault="00AF1CE8" w:rsidP="00AF1CE8">
      <w:pPr>
        <w:pStyle w:val="a3"/>
        <w:shd w:val="clear" w:color="auto" w:fill="FFFFFF"/>
        <w:spacing w:before="0" w:beforeAutospacing="0" w:after="111" w:afterAutospacing="0" w:line="360" w:lineRule="auto"/>
        <w:ind w:firstLine="709"/>
        <w:jc w:val="both"/>
        <w:rPr>
          <w:rFonts w:ascii="Helvetica" w:hAnsi="Helvetica"/>
          <w:sz w:val="28"/>
          <w:szCs w:val="28"/>
        </w:rPr>
      </w:pPr>
      <w:r w:rsidRPr="00AF1CE8">
        <w:rPr>
          <w:sz w:val="28"/>
          <w:szCs w:val="28"/>
        </w:rPr>
        <w:t>Таким образом, назрела острая проблема поиска путей физического оздоровления дошкольников, эффективных средств развития двигательной сферы ребёнка, развития интереса к движению как жизненной потребности.</w:t>
      </w:r>
    </w:p>
    <w:p w:rsidR="00AF1CE8" w:rsidRPr="00AF1CE8" w:rsidRDefault="00AF1CE8" w:rsidP="00AF1CE8">
      <w:pPr>
        <w:pStyle w:val="a3"/>
        <w:shd w:val="clear" w:color="auto" w:fill="FFFFFF"/>
        <w:spacing w:before="0" w:beforeAutospacing="0" w:after="111" w:afterAutospacing="0" w:line="360" w:lineRule="auto"/>
        <w:ind w:firstLine="709"/>
        <w:jc w:val="both"/>
        <w:rPr>
          <w:rFonts w:ascii="Helvetica" w:hAnsi="Helvetica"/>
          <w:sz w:val="28"/>
          <w:szCs w:val="28"/>
        </w:rPr>
      </w:pPr>
      <w:r w:rsidRPr="00AF1CE8">
        <w:rPr>
          <w:sz w:val="28"/>
          <w:szCs w:val="28"/>
        </w:rPr>
        <w:t xml:space="preserve">По определению отечественных психологов Л.С. </w:t>
      </w:r>
      <w:proofErr w:type="spellStart"/>
      <w:r w:rsidRPr="00AF1CE8">
        <w:rPr>
          <w:sz w:val="28"/>
          <w:szCs w:val="28"/>
        </w:rPr>
        <w:t>Выготского</w:t>
      </w:r>
      <w:proofErr w:type="spellEnd"/>
      <w:r w:rsidRPr="00AF1CE8">
        <w:rPr>
          <w:sz w:val="28"/>
          <w:szCs w:val="28"/>
        </w:rPr>
        <w:t xml:space="preserve">, А.В. Запорожца, Д.Б. </w:t>
      </w:r>
      <w:proofErr w:type="spellStart"/>
      <w:r w:rsidRPr="00AF1CE8">
        <w:rPr>
          <w:sz w:val="28"/>
          <w:szCs w:val="28"/>
        </w:rPr>
        <w:t>Эльконина</w:t>
      </w:r>
      <w:proofErr w:type="spellEnd"/>
      <w:r w:rsidRPr="00AF1CE8">
        <w:rPr>
          <w:sz w:val="28"/>
          <w:szCs w:val="28"/>
        </w:rPr>
        <w:t xml:space="preserve">, игра – ведущая деятельность в дошкольном возрасте. В литературе по теории и методике физического воспитания и развития ребёнка (Э.И. </w:t>
      </w:r>
      <w:proofErr w:type="spellStart"/>
      <w:r w:rsidRPr="00AF1CE8">
        <w:rPr>
          <w:sz w:val="28"/>
          <w:szCs w:val="28"/>
        </w:rPr>
        <w:t>Адашкявичене</w:t>
      </w:r>
      <w:proofErr w:type="spellEnd"/>
      <w:r w:rsidRPr="00AF1CE8">
        <w:rPr>
          <w:sz w:val="28"/>
          <w:szCs w:val="28"/>
        </w:rPr>
        <w:t xml:space="preserve">, Е.Н. Вавилова, Т.И. Осокина) подчёркивается, что игры с мячом с элементами спорта позволяют ребёнку овладевать разнообразными, достаточно сложными видами действий, проявлять самостоятельность, активность, творчество. По сравнению с подвижными играми игры с элементами спорта – более сложная форма </w:t>
      </w:r>
      <w:r w:rsidRPr="00AF1CE8">
        <w:rPr>
          <w:sz w:val="28"/>
          <w:szCs w:val="28"/>
        </w:rPr>
        <w:lastRenderedPageBreak/>
        <w:t>деятельности. Следовательно, и влияние их на организм человека шире и глубже.</w:t>
      </w:r>
    </w:p>
    <w:p w:rsidR="00AF1CE8" w:rsidRPr="00AF1CE8" w:rsidRDefault="00AF1CE8" w:rsidP="00AF1CE8">
      <w:pPr>
        <w:pStyle w:val="a3"/>
        <w:shd w:val="clear" w:color="auto" w:fill="FFFFFF"/>
        <w:spacing w:before="0" w:beforeAutospacing="0" w:after="111" w:afterAutospacing="0" w:line="360" w:lineRule="auto"/>
        <w:ind w:firstLine="709"/>
        <w:jc w:val="both"/>
        <w:rPr>
          <w:rFonts w:ascii="Helvetica" w:hAnsi="Helvetica"/>
          <w:sz w:val="28"/>
          <w:szCs w:val="28"/>
        </w:rPr>
      </w:pPr>
      <w:r w:rsidRPr="00AF1CE8">
        <w:rPr>
          <w:sz w:val="28"/>
          <w:szCs w:val="28"/>
        </w:rPr>
        <w:t xml:space="preserve">Подвижные игры с элементами спорта характеризуются частой сменой положения тела и его звеньев, движений и двигательных действий как сложных систем. Спортивная игра «хоккей» требует тесного взаимодействия с соперником, в процессе которого возникает больше тактильных и осязательных ощущений. Специфические раздражения вестибулярного анализатора ощущаются при столкновении игроков. Слуховой анализатор воспринимает такт шагов собственных, партнёров, соперников и местоположение последних на поле (особенно сзади и с боков), звук удара по мячу, шайбе. Наиболее сложные восприятия, координируемые с работой мышц, приходятся в играх на долю зрительного анализатора как в области центрального, так и в области периферического зрения. В играх при ударах,  бросках, приёмах мяча, шайбы возникают восприятия, свойственные «прицельным видам»: попадание в цель, приём мяча. Наряду с этим ведётся наблюдение за соперниками, партнёрами, их местоположением, собственными передвижениями, которые воспринимаются чаще всего периферическим зрением. Центральное зрение фиксирует мяч и его передвижение по полю. Игрок сопровождает зрением посланный ему мяч, подготавливаясь и подстраиваясь к тому, чтобы погасить движение мяча или изменить его направление. Всё это также предъявляет очень высокие требования к пространственному видению игрока. По мнению М.А. </w:t>
      </w:r>
      <w:proofErr w:type="spellStart"/>
      <w:r w:rsidRPr="00AF1CE8">
        <w:rPr>
          <w:sz w:val="28"/>
          <w:szCs w:val="28"/>
        </w:rPr>
        <w:t>Руновой</w:t>
      </w:r>
      <w:proofErr w:type="spellEnd"/>
      <w:r w:rsidRPr="00AF1CE8">
        <w:rPr>
          <w:sz w:val="28"/>
          <w:szCs w:val="28"/>
        </w:rPr>
        <w:t>, игры с мячом – не только интересное развлечение: в значительной мере они способствуют развитию координации движений, что очень важно при обучении письму,  рисованию, конструированию.                                  </w:t>
      </w:r>
    </w:p>
    <w:p w:rsidR="00AF1CE8" w:rsidRPr="00AF1CE8" w:rsidRDefault="00AF1CE8" w:rsidP="00AF1CE8">
      <w:pPr>
        <w:pStyle w:val="a3"/>
        <w:shd w:val="clear" w:color="auto" w:fill="FFFFFF"/>
        <w:spacing w:before="0" w:beforeAutospacing="0" w:after="111" w:afterAutospacing="0" w:line="360" w:lineRule="auto"/>
        <w:ind w:firstLine="709"/>
        <w:jc w:val="both"/>
        <w:rPr>
          <w:rFonts w:ascii="Helvetica" w:hAnsi="Helvetica"/>
          <w:sz w:val="28"/>
          <w:szCs w:val="28"/>
        </w:rPr>
      </w:pPr>
      <w:r w:rsidRPr="00AF1CE8">
        <w:rPr>
          <w:sz w:val="28"/>
          <w:szCs w:val="28"/>
        </w:rPr>
        <w:t>Таким образом, происходит взаимодействие между сенсорными и моторными компонентами, различными уровнями их организации, что сопровождается образованием новых двигательных программ.</w:t>
      </w:r>
    </w:p>
    <w:p w:rsidR="00AF1CE8" w:rsidRPr="00AF1CE8" w:rsidRDefault="00AF1CE8" w:rsidP="00AF1CE8">
      <w:pPr>
        <w:pStyle w:val="a3"/>
        <w:shd w:val="clear" w:color="auto" w:fill="FFFFFF"/>
        <w:spacing w:before="0" w:beforeAutospacing="0" w:after="111" w:afterAutospacing="0" w:line="360" w:lineRule="auto"/>
        <w:ind w:firstLine="709"/>
        <w:jc w:val="both"/>
        <w:rPr>
          <w:rFonts w:ascii="Helvetica" w:hAnsi="Helvetica"/>
          <w:sz w:val="28"/>
          <w:szCs w:val="28"/>
        </w:rPr>
      </w:pPr>
      <w:r w:rsidRPr="00AF1CE8">
        <w:rPr>
          <w:sz w:val="28"/>
          <w:szCs w:val="28"/>
        </w:rPr>
        <w:lastRenderedPageBreak/>
        <w:t>Объединив потенциал спортивных игр и мяча, как атрибута, для реализации детей в движении, общего физического развития и в соответствии с Лицензией на осуществление образовательной деятельности нами была разработана Программа и организованы занятия спортивной направленности «Спортивная игра – хоккей с мячом». В программе рационально распределена двигательная нагрузка старших дошкольников: с учётом физиологической реакции детей, соответствия нагрузки их возрастным и индивидуальным возможностям, уровню подготовленности.</w:t>
      </w:r>
    </w:p>
    <w:p w:rsidR="000A49C1" w:rsidRPr="00AF1CE8" w:rsidRDefault="000A49C1" w:rsidP="00AF1CE8">
      <w:pPr>
        <w:spacing w:line="360" w:lineRule="auto"/>
        <w:rPr>
          <w:sz w:val="28"/>
          <w:szCs w:val="28"/>
        </w:rPr>
      </w:pPr>
    </w:p>
    <w:sectPr w:rsidR="000A49C1" w:rsidRPr="00AF1CE8" w:rsidSect="000A4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F1CE8"/>
    <w:rsid w:val="000A49C1"/>
    <w:rsid w:val="00AF1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1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5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585</Words>
  <Characters>3340</Characters>
  <Application>Microsoft Office Word</Application>
  <DocSecurity>0</DocSecurity>
  <Lines>27</Lines>
  <Paragraphs>7</Paragraphs>
  <ScaleCrop>false</ScaleCrop>
  <Company>Grizli777</Company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2024-09-15T06:41:00Z</dcterms:created>
  <dcterms:modified xsi:type="dcterms:W3CDTF">2024-09-15T06:45:00Z</dcterms:modified>
</cp:coreProperties>
</file>