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77" w:rsidRDefault="00D60C77" w:rsidP="00D60C77">
      <w:pPr>
        <w:pStyle w:val="a3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Условия и средства сенсорного воспитания детей дошкольного возраста</w:t>
      </w:r>
    </w:p>
    <w:p w:rsidR="00D60C77" w:rsidRPr="00D60C77" w:rsidRDefault="00D60C77" w:rsidP="00D60C77">
      <w:pPr>
        <w:pStyle w:val="a3"/>
        <w:spacing w:before="0" w:beforeAutospacing="0" w:after="0" w:afterAutospacing="0" w:line="360" w:lineRule="auto"/>
        <w:ind w:firstLine="708"/>
        <w:jc w:val="right"/>
        <w:rPr>
          <w:sz w:val="28"/>
          <w:szCs w:val="28"/>
        </w:rPr>
      </w:pPr>
      <w:r w:rsidRPr="00D60C77">
        <w:rPr>
          <w:sz w:val="28"/>
          <w:szCs w:val="28"/>
        </w:rPr>
        <w:t>Авторы: Данилова П.К.</w:t>
      </w:r>
    </w:p>
    <w:p w:rsidR="00D60C77" w:rsidRPr="00D60C77" w:rsidRDefault="00D60C77" w:rsidP="00D60C77">
      <w:pPr>
        <w:pStyle w:val="a3"/>
        <w:spacing w:before="0" w:beforeAutospacing="0" w:after="0" w:afterAutospacing="0" w:line="360" w:lineRule="auto"/>
        <w:ind w:firstLine="708"/>
        <w:jc w:val="right"/>
        <w:rPr>
          <w:sz w:val="28"/>
          <w:szCs w:val="28"/>
        </w:rPr>
      </w:pPr>
      <w:r w:rsidRPr="00D60C77">
        <w:rPr>
          <w:sz w:val="28"/>
          <w:szCs w:val="28"/>
        </w:rPr>
        <w:t>Бучнева И.И.</w:t>
      </w:r>
    </w:p>
    <w:p w:rsidR="00D60C77" w:rsidRPr="00D60C77" w:rsidRDefault="00D60C77" w:rsidP="00D60C77">
      <w:pPr>
        <w:pStyle w:val="a3"/>
        <w:spacing w:before="0" w:beforeAutospacing="0" w:after="0" w:afterAutospacing="0" w:line="360" w:lineRule="auto"/>
        <w:ind w:firstLine="708"/>
        <w:jc w:val="right"/>
        <w:rPr>
          <w:sz w:val="28"/>
          <w:szCs w:val="28"/>
        </w:rPr>
      </w:pPr>
      <w:r w:rsidRPr="00D60C77">
        <w:rPr>
          <w:sz w:val="28"/>
          <w:szCs w:val="28"/>
        </w:rPr>
        <w:t>Черкашина Т.Н.</w:t>
      </w:r>
    </w:p>
    <w:p w:rsidR="00D60C77" w:rsidRDefault="00D60C77" w:rsidP="00D60C77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 xml:space="preserve">Условия и средства сенсорного развития и воспитания подробно изложены в рамках общей системы сенсорного воспитания, разработанной отечественными учеными, педагогами и психологами (А.В. Запорожцем, А.П. Усовой, Н.П. </w:t>
      </w:r>
      <w:proofErr w:type="spellStart"/>
      <w:r>
        <w:rPr>
          <w:rFonts w:cs="Times New Roman CYR"/>
          <w:sz w:val="28"/>
          <w:szCs w:val="24"/>
        </w:rPr>
        <w:t>Сакулиной</w:t>
      </w:r>
      <w:proofErr w:type="spellEnd"/>
      <w:r>
        <w:rPr>
          <w:rFonts w:cs="Times New Roman CYR"/>
          <w:sz w:val="28"/>
          <w:szCs w:val="24"/>
        </w:rPr>
        <w:t xml:space="preserve">, Л.А. </w:t>
      </w:r>
      <w:proofErr w:type="spellStart"/>
      <w:r>
        <w:rPr>
          <w:rFonts w:cs="Times New Roman CYR"/>
          <w:sz w:val="28"/>
          <w:szCs w:val="24"/>
        </w:rPr>
        <w:t>Венгером</w:t>
      </w:r>
      <w:proofErr w:type="spellEnd"/>
      <w:r>
        <w:rPr>
          <w:rFonts w:cs="Times New Roman CYR"/>
          <w:sz w:val="28"/>
          <w:szCs w:val="24"/>
        </w:rPr>
        <w:t xml:space="preserve">, Н.Н. </w:t>
      </w:r>
      <w:proofErr w:type="spellStart"/>
      <w:r>
        <w:rPr>
          <w:rFonts w:cs="Times New Roman CYR"/>
          <w:sz w:val="28"/>
          <w:szCs w:val="24"/>
        </w:rPr>
        <w:t>Поддъяковым</w:t>
      </w:r>
      <w:proofErr w:type="spellEnd"/>
      <w:r>
        <w:rPr>
          <w:rFonts w:cs="Times New Roman CYR"/>
          <w:sz w:val="28"/>
          <w:szCs w:val="24"/>
        </w:rPr>
        <w:t xml:space="preserve"> и др.) на основе современных дидактических принципов. На каждом занятии решение задач преемственно ориентировано на фактический уровень сенсорного развития детей и перспективно направлено на освоение комплексной программы сенсорного воспитания в дошкольном детстве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proofErr w:type="gramStart"/>
      <w:r>
        <w:rPr>
          <w:rFonts w:cs="Times New Roman CYR"/>
          <w:sz w:val="28"/>
          <w:szCs w:val="24"/>
        </w:rPr>
        <w:t>В основу первого принципа положено обогащение и углубление содержания сенсорного воспитания, предполагающего формирование у детей, начиная с раннего возраста, широкой ориентировки в предметном окружении, т. е. не только традиционное ознакомление с цветом, формой и величиной предметов, но и совершенствование звукового анализа речи, формирование музыкального слуха, развитие мышечного чувства и т. д., с учетом той важной роли, которую играют эти процессы</w:t>
      </w:r>
      <w:proofErr w:type="gramEnd"/>
      <w:r>
        <w:rPr>
          <w:rFonts w:cs="Times New Roman CYR"/>
          <w:sz w:val="28"/>
          <w:szCs w:val="24"/>
        </w:rPr>
        <w:t xml:space="preserve"> в осуществлении музыкальной, изобразительной деятельности, речевого общения, простейших трудовых операций и т. д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 xml:space="preserve">Второй принцип предполагает сочетание обучения сенсорным действиям с различными видами содержательной деятельности детей, что обеспечивает углубление и конкретизацию педагогической работы, позволяет избежать формальных дидактических упражнений. В процессе этих видов деятельности ребенок ориентируется на свойства и качества предметов, учитывая их значение в решении важных жизненных задач. В большинстве случаев они выступают не сами по себе, а как признаки более </w:t>
      </w:r>
      <w:r>
        <w:rPr>
          <w:rFonts w:cs="Times New Roman CYR"/>
          <w:sz w:val="28"/>
          <w:szCs w:val="24"/>
        </w:rPr>
        <w:lastRenderedPageBreak/>
        <w:t>важных качеств, которые невозможно наблюдать (величина и цвет плодов являются сигналами их зрелости). Поэтому совершенствование сенсорного воспитания и должно быть направлено на выяснение смысла свой</w:t>
      </w:r>
      <w:proofErr w:type="gramStart"/>
      <w:r>
        <w:rPr>
          <w:rFonts w:cs="Times New Roman CYR"/>
          <w:sz w:val="28"/>
          <w:szCs w:val="24"/>
        </w:rPr>
        <w:t>ств пр</w:t>
      </w:r>
      <w:proofErr w:type="gramEnd"/>
      <w:r>
        <w:rPr>
          <w:rFonts w:cs="Times New Roman CYR"/>
          <w:sz w:val="28"/>
          <w:szCs w:val="24"/>
        </w:rPr>
        <w:t>едметов и явлений или выяснение их «сигнального значения»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Третьим принципом отечественной теории сенсорного воспитания предопределяется сообщение детям обобщенных знаний и умений, связанных с ориентировкой в окружающей действительности. Свойства и качества предметов, явлений настолько разнообразны, что ознакомление ребенка со всеми ними без ограничения, так же как и сообщение, ему знаний о каждом из них в отдельности, невозможно. Правильная ориентировка детей в окружающем может быть достигнута в результате специфических действий по обследованию величины, формы, цвета предметов. Особую ценность представляют обобщенные способы обследования определенного рода качеств, служащие решению ряда сходных задач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Четвертый принцип предполагает формирование систематизированных представлений о свойствах и качествах, которые являются основой - эталонами обследования любого предмета, т. е. ребенок должен соотносить полученную информацию с уже имеющимися у него знаниями и опытом. Очень рано ребенок начинает использовать свои знания как средство восприятия и осознания нового предмета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В своей многовековой практике человечество выделило определенную эталонную систему величин, форм, цветовых тонов. Бесконечное их разнообразие было сведено к немногим основным разновидностям. Овладевая такого рода системой, ребенок получает как бы набор мерок, эталонов, с которыми он может сопоставить любое вновь воспринятое качество и дать ему надлежащее определение. Усвоение представлений об этих разновидностях позволяет ребенку оптимально воспринимать окружающую действительность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 xml:space="preserve">Реализация изложенных выше принципов возможна уже на этапе раннего и дошкольного детства средствами дидактических игр. Важным </w:t>
      </w:r>
      <w:r>
        <w:rPr>
          <w:rFonts w:cs="Times New Roman CYR"/>
          <w:sz w:val="28"/>
          <w:szCs w:val="24"/>
        </w:rPr>
        <w:lastRenderedPageBreak/>
        <w:t>моментом в этом процессе является предметно-практическая среда группы.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Создавать для детей предметно-развивающую среду необходимо с учётом их возрастных особенностей, а именно больше уделять внимания развитию сенсорных способностей.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При организации сенсомоторного уголка в первую очередь необходимо выбрать место его расположения в групповом помещении. Оно должно быть удобным для доступа детям. Особое внимание следует уделить подбору сенсомоторных объектов для уголка. Они должны быть безопасными для жизни и здоровья ребёнка. Уголок должен содержать постоянные и дополнительные объекты, которые вносятся в зависимости от потребности и темы занятия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Также важны разнообразные тематические вкладыши и другие пособия для решения задач сенсорного воспитания. Рекомендуется также специальное панно, с помощью которого дети учатся управляться с разнообразными застёжками, Одновременно упражняются в развлечении и названии цветов спектра и знакомясь с сезонными явлениями природы.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Здесь же «</w:t>
      </w:r>
      <w:proofErr w:type="spellStart"/>
      <w:r>
        <w:rPr>
          <w:rFonts w:cs="Times New Roman CYR"/>
          <w:sz w:val="28"/>
          <w:szCs w:val="24"/>
        </w:rPr>
        <w:t>Ковролин</w:t>
      </w:r>
      <w:proofErr w:type="spellEnd"/>
      <w:r>
        <w:rPr>
          <w:rFonts w:cs="Times New Roman CYR"/>
          <w:sz w:val="28"/>
          <w:szCs w:val="24"/>
        </w:rPr>
        <w:t>» в форме домика - игровое обучающее средство, на который дети налепляют изображения из цветных нитей, геометрических фигур, застёжки. На «</w:t>
      </w:r>
      <w:proofErr w:type="spellStart"/>
      <w:r>
        <w:rPr>
          <w:rFonts w:cs="Times New Roman CYR"/>
          <w:sz w:val="28"/>
          <w:szCs w:val="24"/>
        </w:rPr>
        <w:t>Ковролине</w:t>
      </w:r>
      <w:proofErr w:type="spellEnd"/>
      <w:r>
        <w:rPr>
          <w:rFonts w:cs="Times New Roman CYR"/>
          <w:sz w:val="28"/>
          <w:szCs w:val="24"/>
        </w:rPr>
        <w:t>» можно сделать из реек разноцветный заборчик и пропустить через него разноцветные ленточки. Рядом едет паровозик с разноцветными вагончиками, с кармашками с пассажирами - игрушками. Развивает мелкую моторику рук, знакомит с различными свойствами предметов, с цветами, размерами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proofErr w:type="gramStart"/>
      <w:r>
        <w:rPr>
          <w:rFonts w:cs="Times New Roman CYR"/>
          <w:sz w:val="28"/>
          <w:szCs w:val="24"/>
        </w:rPr>
        <w:t>Для развития речевых способностей: используются куклы - малютки, марионетки, пальчиковый и настольный театр, куклы - рукавички, говорим от их имени, играем в день рождения, в дочки - матери, в игру «оживим» наши сказки.</w:t>
      </w:r>
      <w:proofErr w:type="gramEnd"/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Обсуждаем вещи и предметы, которыми ребёнок особенно интересуется, добиваясь того, чтобы ребёнок внятно произнёс слова, понятно для окружающих, отвечая на вопросы.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lastRenderedPageBreak/>
        <w:t>Для развития зрительных способностей: играем в игры, способствующие различению и нанизыванию цвета (2-3), контрастных размеров (большой и маленький), формы (шарик, кубик, кирпичик). Используем разноцветные песочные часы, переливающие капельки «вечные двигатели»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Можно использовать следующие дидактические игры: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ФОРМА: «Собери любой предмет»; «Строитель»; «Волшебная мозаика»; «Цветные квадраты»; «Квадратные забавы» и т. д.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РАЗМЕР: « Матрёшки»; «Шары»; «Строитель»; «Собери любой предмет» и т. д.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 xml:space="preserve">Для развития мелкой моторики руки и для ознакомления детей с различными свойствами предметов используются следующие дидактические игры и пособия: </w:t>
      </w:r>
      <w:proofErr w:type="gramStart"/>
      <w:r>
        <w:rPr>
          <w:rFonts w:cs="Times New Roman CYR"/>
          <w:sz w:val="28"/>
          <w:szCs w:val="24"/>
        </w:rPr>
        <w:t>«Привратник»; «Сделай бусы»; «Подарки из прищепок»; «Сложи листик»; «Волшебные палочки»; «Пуговичная поляна»; «Шнуровки»; «Заверни малыша» и т. д.</w:t>
      </w:r>
      <w:proofErr w:type="gramEnd"/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 xml:space="preserve">Игры В.В. </w:t>
      </w:r>
      <w:proofErr w:type="spellStart"/>
      <w:r>
        <w:rPr>
          <w:rFonts w:cs="Times New Roman CYR"/>
          <w:sz w:val="28"/>
          <w:szCs w:val="24"/>
        </w:rPr>
        <w:t>Воскобовича</w:t>
      </w:r>
      <w:proofErr w:type="spellEnd"/>
      <w:r>
        <w:rPr>
          <w:rFonts w:cs="Times New Roman CYR"/>
          <w:sz w:val="28"/>
          <w:szCs w:val="24"/>
        </w:rPr>
        <w:t xml:space="preserve"> прекрасно вписываются в развивающую среду. Своим многофункциональным применением и красочным видом они постоянно привлекают внимание детей, побуждая их к игре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Ценность игр заключается в том, что их содержание учитывает особенности психики ребенка, интригует его, мобилизует внимание, интерес и незаметно втягивает ребенка в процесс «думанья» под задачей. На первом этапе дети просто собирают фигуры, но потом из года в год будут рождаться целые дворцы, ракеты, стражники, космонавты, сочиняться целые истории.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proofErr w:type="gramStart"/>
      <w:r>
        <w:rPr>
          <w:rFonts w:cs="Times New Roman CYR"/>
          <w:sz w:val="28"/>
          <w:szCs w:val="24"/>
        </w:rPr>
        <w:t xml:space="preserve">Происходит глубокая </w:t>
      </w:r>
      <w:proofErr w:type="spellStart"/>
      <w:r>
        <w:rPr>
          <w:rFonts w:cs="Times New Roman CYR"/>
          <w:sz w:val="28"/>
          <w:szCs w:val="24"/>
        </w:rPr>
        <w:t>задействованность</w:t>
      </w:r>
      <w:proofErr w:type="spellEnd"/>
      <w:r>
        <w:rPr>
          <w:rFonts w:cs="Times New Roman CYR"/>
          <w:sz w:val="28"/>
          <w:szCs w:val="24"/>
        </w:rPr>
        <w:t xml:space="preserve"> психологических процессов (анализирующее восприятие, память, мышление, речь), а также качеств личности (целесообразность, настойчивость, самостоятельность, усидчивость и др.).</w:t>
      </w:r>
      <w:proofErr w:type="gramEnd"/>
      <w:r>
        <w:rPr>
          <w:rFonts w:cs="Times New Roman CYR"/>
          <w:sz w:val="28"/>
          <w:szCs w:val="24"/>
        </w:rPr>
        <w:t xml:space="preserve"> Все эти игры дают широкое поле действию воспитателю, т.к. они не на один день</w:t>
      </w:r>
      <w:r>
        <w:rPr>
          <w:sz w:val="28"/>
          <w:szCs w:val="28"/>
        </w:rPr>
        <w:t>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t>Таким образом, использование дидактических игр является важным условием сенсорного развития детей дошкольного возраста.</w:t>
      </w:r>
    </w:p>
    <w:p w:rsidR="00D60C77" w:rsidRDefault="00D60C77" w:rsidP="00D60C77">
      <w:pPr>
        <w:pStyle w:val="Normal0"/>
        <w:spacing w:line="360" w:lineRule="auto"/>
        <w:ind w:firstLine="720"/>
        <w:jc w:val="both"/>
        <w:rPr>
          <w:rFonts w:cs="Times New Roman CYR"/>
          <w:sz w:val="28"/>
          <w:szCs w:val="24"/>
        </w:rPr>
      </w:pPr>
      <w:r>
        <w:rPr>
          <w:rFonts w:cs="Times New Roman CYR"/>
          <w:sz w:val="28"/>
          <w:szCs w:val="24"/>
        </w:rPr>
        <w:lastRenderedPageBreak/>
        <w:t>Следует отметить, что решение задач преемственно ориентировано на фактический уровень сенсорного развития детей и перспективно направлено на освоение комплексной программы сенсорного воспитания в дошкольном детстве.</w:t>
      </w:r>
    </w:p>
    <w:p w:rsidR="00821A2F" w:rsidRDefault="00821A2F"/>
    <w:sectPr w:rsidR="00821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60C77"/>
    <w:rsid w:val="00821A2F"/>
    <w:rsid w:val="00D60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0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_0"/>
    <w:uiPriority w:val="99"/>
    <w:rsid w:val="00D60C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 CYR" w:hAnsi="Times New Roman CYR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1095</Words>
  <Characters>6247</Characters>
  <Application>Microsoft Office Word</Application>
  <DocSecurity>0</DocSecurity>
  <Lines>52</Lines>
  <Paragraphs>14</Paragraphs>
  <ScaleCrop>false</ScaleCrop>
  <Company>HP</Company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2023-08-15T10:15:00Z</dcterms:created>
  <dcterms:modified xsi:type="dcterms:W3CDTF">2023-08-15T10:18:00Z</dcterms:modified>
</cp:coreProperties>
</file>